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5D6" w:rsidRDefault="00F50FD9">
      <w:proofErr w:type="gramStart"/>
      <w:r>
        <w:t>12-496 TEXAS V. UNITED STATES, ET AL.</w:t>
      </w:r>
      <w:proofErr w:type="gramEnd"/>
      <w:r>
        <w:t xml:space="preserve"> The judgment is vacated, and the case is remanded to the United States District Court for the District of Columbia for further consideration in light of Shelby County v. Holder, 570 U.S. ___ (2013), and the suggestion of mootness of appellees Wendy Davis, et al.</w:t>
      </w:r>
      <w:bookmarkStart w:id="0" w:name="_GoBack"/>
      <w:bookmarkEnd w:id="0"/>
    </w:p>
    <w:sectPr w:rsidR="00955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D9"/>
    <w:rsid w:val="00884245"/>
    <w:rsid w:val="00B459DB"/>
    <w:rsid w:val="00F5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2015-08-19T01:50:00Z</dcterms:created>
  <dcterms:modified xsi:type="dcterms:W3CDTF">2015-08-19T01:50:00Z</dcterms:modified>
</cp:coreProperties>
</file>