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2.xml" ContentType="application/vnd.openxmlformats-officedocument.wordprocessingml.footer+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BC" w:rsidRPr="0043667A" w:rsidRDefault="00FC70BC" w:rsidP="00FC70BC">
      <w:bookmarkStart w:id="0" w:name="_GoBack"/>
      <w:bookmarkEnd w:id="0"/>
      <w:r>
        <w:rPr>
          <w:noProof/>
        </w:rPr>
        <w:drawing>
          <wp:anchor distT="0" distB="0" distL="114300" distR="114300" simplePos="0" relativeHeight="251661312" behindDoc="1" locked="0" layoutInCell="1" allowOverlap="1">
            <wp:simplePos x="0" y="0"/>
            <wp:positionH relativeFrom="column">
              <wp:posOffset>-914400</wp:posOffset>
            </wp:positionH>
            <wp:positionV relativeFrom="paragraph">
              <wp:posOffset>-914400</wp:posOffset>
            </wp:positionV>
            <wp:extent cx="7764888" cy="10097554"/>
            <wp:effectExtent l="0" t="0" r="7620" b="12065"/>
            <wp:wrapNone/>
            <wp:docPr id="3" name="Picture 0" descr="CPR Cover P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R Cover Page.bmp"/>
                    <pic:cNvPicPr/>
                  </pic:nvPicPr>
                  <pic:blipFill>
                    <a:blip r:embed="rId9" cstate="print"/>
                    <a:stretch>
                      <a:fillRect/>
                    </a:stretch>
                  </pic:blipFill>
                  <pic:spPr>
                    <a:xfrm>
                      <a:off x="0" y="0"/>
                      <a:ext cx="7764888" cy="10097554"/>
                    </a:xfrm>
                    <a:prstGeom prst="rect">
                      <a:avLst/>
                    </a:prstGeom>
                  </pic:spPr>
                </pic:pic>
              </a:graphicData>
            </a:graphic>
          </wp:anchor>
        </w:drawing>
      </w:r>
    </w:p>
    <w:p w:rsidR="00FC70BC" w:rsidRPr="0043667A" w:rsidRDefault="00FC70BC" w:rsidP="00FC70BC"/>
    <w:p w:rsidR="00FC70BC" w:rsidRDefault="00FC70BC" w:rsidP="00FC70BC">
      <w:pPr>
        <w:ind w:left="1170"/>
        <w:jc w:val="center"/>
        <w:rPr>
          <w:rFonts w:ascii="Tw Cen MT Bold" w:hAnsi="Tw Cen MT Bold"/>
          <w:b/>
          <w:caps/>
          <w:sz w:val="52"/>
          <w:szCs w:val="52"/>
        </w:rPr>
      </w:pPr>
    </w:p>
    <w:p w:rsidR="00FC70BC" w:rsidRDefault="00FC70BC" w:rsidP="00FC70BC">
      <w:pPr>
        <w:spacing w:after="0" w:line="240" w:lineRule="auto"/>
        <w:ind w:left="1166"/>
        <w:rPr>
          <w:rFonts w:ascii="Tw Cen MT Bold" w:hAnsi="Tw Cen MT Bold"/>
          <w:b/>
          <w:caps/>
          <w:sz w:val="64"/>
          <w:szCs w:val="64"/>
        </w:rPr>
      </w:pPr>
    </w:p>
    <w:p w:rsidR="00FC70BC" w:rsidRPr="00032D4F" w:rsidRDefault="00FC70BC" w:rsidP="00FC70BC">
      <w:pPr>
        <w:spacing w:after="0" w:line="240" w:lineRule="auto"/>
        <w:ind w:left="1166"/>
        <w:rPr>
          <w:rFonts w:ascii="Tw Cen MT Bold" w:hAnsi="Tw Cen MT Bold"/>
          <w:b/>
          <w:caps/>
          <w:sz w:val="64"/>
          <w:szCs w:val="64"/>
        </w:rPr>
      </w:pPr>
      <w:r w:rsidRPr="00032D4F">
        <w:rPr>
          <w:rFonts w:ascii="Tw Cen MT Bold" w:hAnsi="Tw Cen MT Bold"/>
          <w:b/>
          <w:caps/>
          <w:sz w:val="64"/>
          <w:szCs w:val="64"/>
        </w:rPr>
        <w:t>No Hearing Habeas:</w:t>
      </w:r>
    </w:p>
    <w:p w:rsidR="00FC70BC" w:rsidRPr="00E37B2E" w:rsidRDefault="00E37B2E" w:rsidP="00FC70BC">
      <w:pPr>
        <w:spacing w:after="0" w:line="240" w:lineRule="auto"/>
        <w:ind w:left="1166"/>
        <w:rPr>
          <w:rFonts w:ascii="Tw Cen MT Bold" w:hAnsi="Tw Cen MT Bold"/>
          <w:b/>
          <w:caps/>
          <w:sz w:val="40"/>
          <w:szCs w:val="40"/>
        </w:rPr>
      </w:pPr>
      <w:r w:rsidRPr="00E37B2E">
        <w:rPr>
          <w:rFonts w:ascii="Tw Cen MT Bold" w:hAnsi="Tw Cen MT Bold"/>
          <w:b/>
          <w:caps/>
          <w:sz w:val="40"/>
          <w:szCs w:val="40"/>
        </w:rPr>
        <w:t>D.C. Circuit Restricts Meaningful Review</w:t>
      </w:r>
    </w:p>
    <w:p w:rsidR="00FC70BC" w:rsidRPr="0043667A" w:rsidRDefault="00FC70BC" w:rsidP="00FC70BC">
      <w:pPr>
        <w:spacing w:after="0" w:line="240" w:lineRule="auto"/>
        <w:ind w:left="1166"/>
      </w:pPr>
    </w:p>
    <w:p w:rsidR="00FC70BC" w:rsidRPr="0043667A" w:rsidRDefault="00FC70BC" w:rsidP="00FC70BC">
      <w:pPr>
        <w:spacing w:after="0" w:line="240" w:lineRule="auto"/>
        <w:ind w:left="1166"/>
      </w:pPr>
    </w:p>
    <w:p w:rsidR="00FC70BC" w:rsidRDefault="00FC70BC" w:rsidP="00FC70BC">
      <w:pPr>
        <w:spacing w:after="0" w:line="240" w:lineRule="auto"/>
        <w:ind w:left="1166"/>
        <w:rPr>
          <w:b/>
        </w:rPr>
      </w:pPr>
    </w:p>
    <w:p w:rsidR="00FC70BC" w:rsidRPr="000D5704" w:rsidRDefault="00FC70BC" w:rsidP="00FC70BC">
      <w:pPr>
        <w:spacing w:after="0" w:line="240" w:lineRule="auto"/>
        <w:ind w:left="1166"/>
        <w:rPr>
          <w:b/>
        </w:rPr>
      </w:pPr>
      <w:r w:rsidRPr="000D5704">
        <w:rPr>
          <w:b/>
        </w:rPr>
        <w:t>Mark Denbeaux</w:t>
      </w:r>
    </w:p>
    <w:p w:rsidR="00FC70BC" w:rsidRDefault="00FC70BC" w:rsidP="00FC70BC">
      <w:pPr>
        <w:spacing w:after="0" w:line="240" w:lineRule="auto"/>
        <w:ind w:left="1166"/>
      </w:pPr>
      <w:r>
        <w:t>Professor, Seton Hall University School of Law</w:t>
      </w:r>
    </w:p>
    <w:p w:rsidR="00FC70BC" w:rsidRDefault="00FC70BC" w:rsidP="00FC70BC">
      <w:pPr>
        <w:spacing w:after="0" w:line="240" w:lineRule="auto"/>
        <w:ind w:left="1166"/>
      </w:pPr>
      <w:r w:rsidRPr="0043667A">
        <w:t>Director</w:t>
      </w:r>
      <w:r>
        <w:t>, Seton Hall Law Center for Policy and Research</w:t>
      </w:r>
    </w:p>
    <w:p w:rsidR="00FC70BC" w:rsidRDefault="00FC70BC" w:rsidP="00FC70BC">
      <w:pPr>
        <w:spacing w:after="0" w:line="240" w:lineRule="auto"/>
        <w:ind w:left="1166"/>
      </w:pPr>
      <w:r>
        <w:t>Counsel for Guantanamo Detainees</w:t>
      </w:r>
    </w:p>
    <w:p w:rsidR="00FC70BC" w:rsidRDefault="00FC70BC" w:rsidP="00FC70BC">
      <w:pPr>
        <w:spacing w:after="0" w:line="240" w:lineRule="auto"/>
        <w:ind w:left="1166"/>
      </w:pPr>
    </w:p>
    <w:p w:rsidR="00FC70BC" w:rsidRPr="00E710E1" w:rsidRDefault="00FC70BC" w:rsidP="00FC70BC">
      <w:pPr>
        <w:spacing w:after="0" w:line="240" w:lineRule="auto"/>
        <w:ind w:left="1166"/>
        <w:rPr>
          <w:b/>
        </w:rPr>
      </w:pPr>
      <w:r w:rsidRPr="00E710E1">
        <w:rPr>
          <w:b/>
        </w:rPr>
        <w:t>Jonathan Hafetz</w:t>
      </w:r>
    </w:p>
    <w:p w:rsidR="00FC70BC" w:rsidRDefault="00FC70BC" w:rsidP="00FC70BC">
      <w:pPr>
        <w:spacing w:after="0" w:line="240" w:lineRule="auto"/>
        <w:ind w:left="1166"/>
      </w:pPr>
      <w:r>
        <w:t>Associate Professor, Seton Hall University School of Law</w:t>
      </w:r>
    </w:p>
    <w:p w:rsidR="00E710E1" w:rsidRPr="0043667A" w:rsidRDefault="00E710E1" w:rsidP="00FC70BC">
      <w:pPr>
        <w:spacing w:after="0" w:line="240" w:lineRule="auto"/>
        <w:ind w:left="1166"/>
      </w:pPr>
      <w:r>
        <w:t>Co-Director, Seton Hall Law Transnational Justice Project</w:t>
      </w:r>
    </w:p>
    <w:p w:rsidR="00FC70BC" w:rsidRPr="0043667A" w:rsidRDefault="00FC70BC" w:rsidP="00FC70BC">
      <w:pPr>
        <w:spacing w:after="0" w:line="240" w:lineRule="auto"/>
        <w:ind w:left="1166"/>
      </w:pPr>
    </w:p>
    <w:p w:rsidR="00FC70BC" w:rsidRPr="00175CEC" w:rsidRDefault="00FC70BC" w:rsidP="00FC70BC">
      <w:pPr>
        <w:spacing w:after="0" w:line="240" w:lineRule="auto"/>
        <w:ind w:left="1166"/>
        <w:rPr>
          <w:b/>
        </w:rPr>
      </w:pPr>
      <w:r>
        <w:rPr>
          <w:b/>
        </w:rPr>
        <w:t xml:space="preserve">Sara Ben-David, Nicholas Stratton, &amp; Lauren Winchester </w:t>
      </w:r>
    </w:p>
    <w:p w:rsidR="00FC70BC" w:rsidRPr="000D5704" w:rsidRDefault="00FC70BC" w:rsidP="00FC70BC">
      <w:pPr>
        <w:spacing w:after="0" w:line="240" w:lineRule="auto"/>
        <w:ind w:left="1166"/>
      </w:pPr>
      <w:r w:rsidRPr="000D5704">
        <w:t>Co-Authors &amp; Research Fellows</w:t>
      </w:r>
    </w:p>
    <w:p w:rsidR="00FC70BC" w:rsidRDefault="00FC70BC" w:rsidP="00FC70BC">
      <w:pPr>
        <w:spacing w:after="0" w:line="240" w:lineRule="auto"/>
        <w:ind w:left="1166"/>
      </w:pPr>
    </w:p>
    <w:p w:rsidR="00FC70BC" w:rsidRPr="00175CEC" w:rsidRDefault="00FC70BC" w:rsidP="00FC70BC">
      <w:pPr>
        <w:spacing w:after="0" w:line="240" w:lineRule="auto"/>
        <w:ind w:left="1166"/>
        <w:rPr>
          <w:b/>
        </w:rPr>
      </w:pPr>
      <w:r w:rsidRPr="00175CEC">
        <w:rPr>
          <w:b/>
        </w:rPr>
        <w:t xml:space="preserve">Bahadir Ekiz, Christopher Fox, Erin Hendrix, Chrystal Loyer, </w:t>
      </w:r>
      <w:r>
        <w:rPr>
          <w:b/>
        </w:rPr>
        <w:t>Philip Taylor,</w:t>
      </w:r>
      <w:r w:rsidRPr="00175CEC">
        <w:rPr>
          <w:b/>
        </w:rPr>
        <w:t xml:space="preserve"> Edward Dabek, Sean Kennedy, </w:t>
      </w:r>
      <w:r w:rsidR="00400144" w:rsidRPr="00175CEC">
        <w:rPr>
          <w:b/>
        </w:rPr>
        <w:t xml:space="preserve">Edward Kerins, </w:t>
      </w:r>
      <w:r w:rsidRPr="00175CEC">
        <w:rPr>
          <w:b/>
        </w:rPr>
        <w:t>Eric Miller, Emma Mintz, Kelly Ross, Kelly Ann Taddonio</w:t>
      </w:r>
      <w:r>
        <w:rPr>
          <w:b/>
        </w:rPr>
        <w:t>,</w:t>
      </w:r>
      <w:r w:rsidRPr="00175CEC">
        <w:rPr>
          <w:b/>
        </w:rPr>
        <w:t xml:space="preserve"> Richard Tracy</w:t>
      </w:r>
    </w:p>
    <w:p w:rsidR="00FC70BC" w:rsidRDefault="00FC70BC" w:rsidP="00FC70BC">
      <w:pPr>
        <w:spacing w:after="0" w:line="240" w:lineRule="auto"/>
        <w:ind w:left="1166"/>
      </w:pPr>
      <w:r>
        <w:t>Contributors &amp; Research Fellows</w:t>
      </w:r>
    </w:p>
    <w:p w:rsidR="00FC70BC" w:rsidRDefault="00FC70BC" w:rsidP="00FC70BC">
      <w:pPr>
        <w:spacing w:after="0" w:line="240" w:lineRule="auto"/>
        <w:ind w:left="1166"/>
      </w:pPr>
    </w:p>
    <w:p w:rsidR="00FC70BC" w:rsidRPr="00175CEC" w:rsidRDefault="00FC70BC" w:rsidP="00FC70BC">
      <w:pPr>
        <w:spacing w:after="0" w:line="240" w:lineRule="auto"/>
        <w:ind w:left="1166"/>
        <w:rPr>
          <w:b/>
        </w:rPr>
      </w:pPr>
      <w:r w:rsidRPr="00175CEC">
        <w:rPr>
          <w:b/>
        </w:rPr>
        <w:t>James Froehlich, Ryan Gallagher, Paul Juzdan, Matt Miller, Lucas Morgan, Jason Stern, Kurt Watkins, Joshua Wirtshafter</w:t>
      </w:r>
    </w:p>
    <w:p w:rsidR="00FC70BC" w:rsidRPr="0043667A" w:rsidRDefault="00FC70BC" w:rsidP="00FC70BC">
      <w:pPr>
        <w:spacing w:after="0" w:line="240" w:lineRule="auto"/>
        <w:ind w:left="1166"/>
      </w:pPr>
      <w:r>
        <w:t>Research Fellows</w:t>
      </w:r>
    </w:p>
    <w:p w:rsidR="00FC70BC" w:rsidRDefault="00FC70BC" w:rsidP="00FC70BC">
      <w:pPr>
        <w:spacing w:after="0" w:line="240" w:lineRule="auto"/>
        <w:ind w:left="1166"/>
      </w:pPr>
    </w:p>
    <w:p w:rsidR="00FC70BC" w:rsidRPr="0043667A" w:rsidRDefault="00FC70BC" w:rsidP="00FC70BC">
      <w:pPr>
        <w:spacing w:after="0" w:line="240" w:lineRule="auto"/>
        <w:ind w:left="1166"/>
      </w:pPr>
    </w:p>
    <w:p w:rsidR="00FC70BC" w:rsidRDefault="00FC70BC" w:rsidP="00FC70BC">
      <w:pPr>
        <w:spacing w:after="0" w:line="240" w:lineRule="auto"/>
        <w:ind w:left="1166"/>
        <w:rPr>
          <w:b/>
          <w:highlight w:val="red"/>
        </w:rPr>
      </w:pPr>
    </w:p>
    <w:p w:rsidR="00FC70BC" w:rsidRDefault="00FC70BC" w:rsidP="00FC70BC">
      <w:pPr>
        <w:spacing w:after="0" w:line="240" w:lineRule="auto"/>
        <w:ind w:left="1166"/>
        <w:rPr>
          <w:b/>
          <w:highlight w:val="red"/>
        </w:rPr>
      </w:pPr>
    </w:p>
    <w:p w:rsidR="00FC70BC" w:rsidRDefault="00FC70BC" w:rsidP="00FC70BC">
      <w:pPr>
        <w:spacing w:after="0" w:line="240" w:lineRule="auto"/>
        <w:ind w:left="1166"/>
        <w:rPr>
          <w:b/>
          <w:highlight w:val="red"/>
        </w:rPr>
      </w:pPr>
    </w:p>
    <w:p w:rsidR="00FC70BC" w:rsidRDefault="00FC70BC" w:rsidP="00FC70BC">
      <w:pPr>
        <w:spacing w:after="0" w:line="240" w:lineRule="auto"/>
        <w:ind w:left="1166"/>
        <w:rPr>
          <w:b/>
          <w:highlight w:val="red"/>
        </w:rPr>
      </w:pPr>
    </w:p>
    <w:p w:rsidR="00FC70BC" w:rsidRPr="0092069E" w:rsidRDefault="00B64598" w:rsidP="00FC70BC">
      <w:pPr>
        <w:spacing w:after="0" w:line="240" w:lineRule="auto"/>
        <w:ind w:left="1166"/>
        <w:rPr>
          <w:b/>
        </w:rPr>
      </w:pPr>
      <w:r w:rsidRPr="00B64598">
        <w:rPr>
          <w:b/>
        </w:rPr>
        <w:t>May 1</w:t>
      </w:r>
      <w:r w:rsidR="00FC70BC" w:rsidRPr="00B64598">
        <w:rPr>
          <w:b/>
        </w:rPr>
        <w:t>, 2012</w:t>
      </w:r>
      <w:r w:rsidR="00FC70BC" w:rsidRPr="0092069E">
        <w:rPr>
          <w:b/>
        </w:rPr>
        <w:br w:type="page"/>
      </w:r>
    </w:p>
    <w:p w:rsidR="00253679" w:rsidRDefault="00253679" w:rsidP="009F7DAC">
      <w:pPr>
        <w:rPr>
          <w:rFonts w:ascii="Times New Roman" w:hAnsi="Times New Roman" w:cs="Times New Roman"/>
          <w:b/>
          <w:sz w:val="24"/>
          <w:szCs w:val="24"/>
        </w:rPr>
        <w:sectPr w:rsidR="00253679" w:rsidSect="000946BE">
          <w:footerReference w:type="default" r:id="rId10"/>
          <w:pgSz w:w="12240" w:h="15840"/>
          <w:pgMar w:top="1440" w:right="1440" w:bottom="1440" w:left="1440" w:header="720" w:footer="720" w:gutter="0"/>
          <w:cols w:space="720"/>
          <w:docGrid w:linePitch="360"/>
        </w:sectPr>
      </w:pPr>
    </w:p>
    <w:p w:rsidR="00E37B2E" w:rsidRDefault="00E37B2E" w:rsidP="00D70819">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EXECUTIVE SUMMARY</w:t>
      </w:r>
    </w:p>
    <w:p w:rsidR="00071BDB" w:rsidRPr="00071BDB" w:rsidRDefault="00D70819" w:rsidP="00071BDB">
      <w:pPr>
        <w:pStyle w:val="NormalWeb"/>
        <w:jc w:val="both"/>
      </w:pPr>
      <w:r>
        <w:tab/>
      </w:r>
      <w:r w:rsidR="00071BDB" w:rsidRPr="00071BDB">
        <w:t xml:space="preserve">It is an open secret that </w:t>
      </w:r>
      <w:r w:rsidR="00071BDB" w:rsidRPr="00071BDB">
        <w:rPr>
          <w:i/>
        </w:rPr>
        <w:t>Boumediene v. Bush</w:t>
      </w:r>
      <w:r w:rsidR="00071BDB" w:rsidRPr="00071BDB">
        <w:t xml:space="preserve">’s promise of robust review of the legality of </w:t>
      </w:r>
      <w:r w:rsidR="00071BDB">
        <w:t xml:space="preserve">the </w:t>
      </w:r>
      <w:r w:rsidR="00071BDB" w:rsidRPr="00071BDB">
        <w:t>Guantanamo detainees</w:t>
      </w:r>
      <w:r w:rsidR="00071BDB">
        <w:t>’ detention</w:t>
      </w:r>
      <w:r w:rsidR="00071BDB" w:rsidRPr="00071BDB">
        <w:t xml:space="preserve"> has been effectively negated by decisions of the United States Court of Appeals for the District of Columbia Circuit, beginning with </w:t>
      </w:r>
      <w:r w:rsidR="00071BDB" w:rsidRPr="00071BDB">
        <w:rPr>
          <w:i/>
        </w:rPr>
        <w:t>Al-Adahi v. Obama</w:t>
      </w:r>
      <w:r w:rsidR="00071BDB">
        <w:t xml:space="preserve">.  </w:t>
      </w:r>
      <w:r w:rsidR="00071BDB" w:rsidRPr="00071BDB">
        <w:t xml:space="preserve">This </w:t>
      </w:r>
      <w:r w:rsidR="00071BDB">
        <w:t>R</w:t>
      </w:r>
      <w:r w:rsidR="00071BDB" w:rsidRPr="00071BDB">
        <w:t xml:space="preserve">eport examines the outcomes of habeas review for Guantanamo detainees, the right to </w:t>
      </w:r>
      <w:r w:rsidR="00071BDB">
        <w:t>both habeas and</w:t>
      </w:r>
      <w:r w:rsidR="00071BDB" w:rsidRPr="00071BDB">
        <w:t xml:space="preserve"> “a meaningful review” of the evidence</w:t>
      </w:r>
      <w:r w:rsidR="00071BDB">
        <w:t xml:space="preserve"> having been</w:t>
      </w:r>
      <w:r w:rsidR="00071BDB" w:rsidRPr="00071BDB">
        <w:t xml:space="preserve"> established</w:t>
      </w:r>
      <w:r w:rsidR="00071BDB">
        <w:t xml:space="preserve"> in 2008</w:t>
      </w:r>
      <w:r w:rsidR="00071BDB" w:rsidRPr="00071BDB">
        <w:t xml:space="preserve"> by the Supreme Court in </w:t>
      </w:r>
      <w:r w:rsidR="00071BDB" w:rsidRPr="00071BDB">
        <w:rPr>
          <w:i/>
        </w:rPr>
        <w:t>Boumediene</w:t>
      </w:r>
      <w:r w:rsidR="00071BDB">
        <w:t>.</w:t>
      </w:r>
    </w:p>
    <w:p w:rsidR="00071BDB" w:rsidRPr="00071BDB" w:rsidRDefault="00071BDB" w:rsidP="00071BDB">
      <w:pPr>
        <w:pStyle w:val="NormalWeb"/>
        <w:jc w:val="both"/>
      </w:pPr>
      <w:r>
        <w:tab/>
      </w:r>
      <w:r w:rsidRPr="00071BDB">
        <w:t>There is a marked difference between the first 34 habeas decisions and the last 12 in both the number of times that detainees win habeas and the frequency in which the trial court has deferred to the government</w:t>
      </w:r>
      <w:r>
        <w:t>’</w:t>
      </w:r>
      <w:r w:rsidRPr="00071BDB">
        <w:t xml:space="preserve">s factual allegations rather than reject them.  The difference between these two groups of cases is that </w:t>
      </w:r>
      <w:r>
        <w:t xml:space="preserve">the first </w:t>
      </w:r>
      <w:r w:rsidRPr="00071BDB">
        <w:t xml:space="preserve">34 were before and the </w:t>
      </w:r>
      <w:r>
        <w:t xml:space="preserve">remaining </w:t>
      </w:r>
      <w:r w:rsidRPr="00071BDB">
        <w:t xml:space="preserve">12 were after the </w:t>
      </w:r>
      <w:r>
        <w:t xml:space="preserve">July 2010 </w:t>
      </w:r>
      <w:r w:rsidRPr="00071BDB">
        <w:t xml:space="preserve">grant reversal by the </w:t>
      </w:r>
      <w:r>
        <w:t>D.C.</w:t>
      </w:r>
      <w:r w:rsidRPr="00071BDB">
        <w:t xml:space="preserve"> Circuit in </w:t>
      </w:r>
      <w:r w:rsidRPr="00071BDB">
        <w:rPr>
          <w:i/>
        </w:rPr>
        <w:t>Al-Adahi</w:t>
      </w:r>
      <w:r w:rsidRPr="00071BDB">
        <w:t>.  </w:t>
      </w:r>
    </w:p>
    <w:p w:rsidR="008600DE" w:rsidRDefault="00071BDB" w:rsidP="00071BDB">
      <w:pPr>
        <w:pStyle w:val="NormalWeb"/>
        <w:jc w:val="both"/>
      </w:pPr>
      <w:r>
        <w:tab/>
        <w:t xml:space="preserve">Detainees won 56% of the first </w:t>
      </w:r>
      <w:r w:rsidRPr="00071BDB">
        <w:t>34 habeas petitions</w:t>
      </w:r>
      <w:r>
        <w:t>.</w:t>
      </w:r>
    </w:p>
    <w:p w:rsidR="008600DE" w:rsidRDefault="008600DE" w:rsidP="00071BDB">
      <w:pPr>
        <w:pStyle w:val="NormalWeb"/>
        <w:jc w:val="both"/>
      </w:pPr>
      <w:r>
        <w:tab/>
        <w:t>Detainees lost 92% of the last 12.</w:t>
      </w:r>
    </w:p>
    <w:p w:rsidR="00071BDB" w:rsidRPr="00071BDB" w:rsidRDefault="008600DE" w:rsidP="00071BDB">
      <w:pPr>
        <w:pStyle w:val="NormalWeb"/>
        <w:jc w:val="both"/>
      </w:pPr>
      <w:r>
        <w:tab/>
        <w:t>The sole grant post-</w:t>
      </w:r>
      <w:r>
        <w:rPr>
          <w:i/>
        </w:rPr>
        <w:t>Al-Adahi</w:t>
      </w:r>
      <w:r>
        <w:t xml:space="preserve"> in </w:t>
      </w:r>
      <w:r>
        <w:rPr>
          <w:i/>
        </w:rPr>
        <w:t>Latif v. Obama</w:t>
      </w:r>
      <w:r>
        <w:t xml:space="preserve"> has since been vacated and remanded by the D.C. Circuit.</w:t>
      </w:r>
    </w:p>
    <w:p w:rsidR="008600DE" w:rsidRDefault="008600DE" w:rsidP="00071BDB">
      <w:pPr>
        <w:pStyle w:val="NormalWeb"/>
        <w:jc w:val="both"/>
      </w:pPr>
      <w:r>
        <w:tab/>
      </w:r>
      <w:r w:rsidR="00071BDB" w:rsidRPr="00071BDB">
        <w:t>The differences were not limited merely to winning and losing.  Significantly</w:t>
      </w:r>
      <w:r>
        <w:t>,</w:t>
      </w:r>
      <w:r w:rsidR="00071BDB" w:rsidRPr="00071BDB">
        <w:t xml:space="preserve"> the two sets of cases were different in the deference that the </w:t>
      </w:r>
      <w:r>
        <w:t>d</w:t>
      </w:r>
      <w:r w:rsidRPr="00071BDB">
        <w:t xml:space="preserve">istrict </w:t>
      </w:r>
      <w:r>
        <w:t>c</w:t>
      </w:r>
      <w:r w:rsidRPr="00071BDB">
        <w:t xml:space="preserve">ourts </w:t>
      </w:r>
      <w:r>
        <w:t>accorded</w:t>
      </w:r>
      <w:r w:rsidR="00071BDB" w:rsidRPr="00071BDB">
        <w:t xml:space="preserve"> government allegations. </w:t>
      </w:r>
      <w:r>
        <w:t xml:space="preserve"> In the</w:t>
      </w:r>
      <w:r w:rsidRPr="00071BDB">
        <w:t xml:space="preserve"> </w:t>
      </w:r>
      <w:r w:rsidR="00071BDB" w:rsidRPr="00071BDB">
        <w:t>34 earlier</w:t>
      </w:r>
      <w:r>
        <w:t xml:space="preserve"> cases,</w:t>
      </w:r>
      <w:r w:rsidR="00071BDB" w:rsidRPr="00071BDB">
        <w:t xml:space="preserve"> courts rejected the government</w:t>
      </w:r>
      <w:r>
        <w:t>’</w:t>
      </w:r>
      <w:r w:rsidR="00071BDB" w:rsidRPr="00071BDB">
        <w:t>s factual allegations 40% of the time</w:t>
      </w:r>
      <w:r>
        <w:t>.  In the most recent 12 cases, however,</w:t>
      </w:r>
      <w:r w:rsidR="00071BDB" w:rsidRPr="00071BDB">
        <w:t xml:space="preserve"> the courts rejected</w:t>
      </w:r>
      <w:r>
        <w:t xml:space="preserve"> only 14% of these allegations.  </w:t>
      </w:r>
    </w:p>
    <w:p w:rsidR="00071BDB" w:rsidRPr="00071BDB" w:rsidRDefault="008600DE" w:rsidP="00071BDB">
      <w:pPr>
        <w:pStyle w:val="NormalWeb"/>
        <w:jc w:val="both"/>
      </w:pPr>
      <w:r>
        <w:tab/>
      </w:r>
      <w:r w:rsidR="00071BDB" w:rsidRPr="00071BDB">
        <w:t xml:space="preserve">The effect of </w:t>
      </w:r>
      <w:r w:rsidR="00071BDB" w:rsidRPr="008600DE">
        <w:rPr>
          <w:i/>
        </w:rPr>
        <w:t>Al-Adahi</w:t>
      </w:r>
      <w:r w:rsidR="00071BDB" w:rsidRPr="00071BDB">
        <w:t xml:space="preserve"> on the habeas corpus litigation promised in </w:t>
      </w:r>
      <w:r w:rsidR="00071BDB" w:rsidRPr="008600DE">
        <w:rPr>
          <w:i/>
        </w:rPr>
        <w:t>Bou</w:t>
      </w:r>
      <w:r>
        <w:rPr>
          <w:i/>
        </w:rPr>
        <w:t>m</w:t>
      </w:r>
      <w:r w:rsidR="00071BDB" w:rsidRPr="008600DE">
        <w:rPr>
          <w:i/>
        </w:rPr>
        <w:t>ediene</w:t>
      </w:r>
      <w:r w:rsidR="00071BDB" w:rsidRPr="00071BDB">
        <w:t xml:space="preserve"> is clear.</w:t>
      </w:r>
      <w:r>
        <w:t xml:space="preserve">  </w:t>
      </w:r>
      <w:r w:rsidR="00071BDB" w:rsidRPr="00071BDB">
        <w:t xml:space="preserve">After </w:t>
      </w:r>
      <w:r w:rsidR="00071BDB" w:rsidRPr="008600DE">
        <w:rPr>
          <w:i/>
        </w:rPr>
        <w:t>Al-Ada</w:t>
      </w:r>
      <w:r w:rsidRPr="008600DE">
        <w:rPr>
          <w:i/>
        </w:rPr>
        <w:t>h</w:t>
      </w:r>
      <w:r w:rsidR="00071BDB" w:rsidRPr="008600DE">
        <w:rPr>
          <w:i/>
        </w:rPr>
        <w:t>i</w:t>
      </w:r>
      <w:r>
        <w:t>,</w:t>
      </w:r>
      <w:r w:rsidR="00071BDB" w:rsidRPr="00071BDB">
        <w:t xml:space="preserve"> the </w:t>
      </w:r>
      <w:r>
        <w:t>practice</w:t>
      </w:r>
      <w:r w:rsidRPr="00071BDB">
        <w:t xml:space="preserve"> </w:t>
      </w:r>
      <w:r w:rsidR="00071BDB" w:rsidRPr="00071BDB">
        <w:t>of</w:t>
      </w:r>
      <w:r>
        <w:t xml:space="preserve"> careful</w:t>
      </w:r>
      <w:r w:rsidR="00071BDB" w:rsidRPr="00071BDB">
        <w:t xml:space="preserve"> judicial fact</w:t>
      </w:r>
      <w:r>
        <w:t>-</w:t>
      </w:r>
      <w:r w:rsidR="00071BDB" w:rsidRPr="00071BDB">
        <w:t>finding was replaced by judicial deference to the government's allegations</w:t>
      </w:r>
      <w:r>
        <w:t>.</w:t>
      </w:r>
      <w:r w:rsidR="00071BDB" w:rsidRPr="00071BDB">
        <w:t xml:space="preserve"> </w:t>
      </w:r>
      <w:r>
        <w:t xml:space="preserve"> Now the government wins </w:t>
      </w:r>
      <w:r w:rsidR="00071BDB" w:rsidRPr="00071BDB">
        <w:t xml:space="preserve">every </w:t>
      </w:r>
      <w:r>
        <w:t>petition</w:t>
      </w:r>
      <w:r w:rsidR="00071BDB" w:rsidRPr="00071BDB">
        <w:t>.</w:t>
      </w:r>
    </w:p>
    <w:p w:rsidR="00071BDB" w:rsidRPr="00071BDB" w:rsidRDefault="008600DE" w:rsidP="00071BDB">
      <w:pPr>
        <w:pStyle w:val="NormalWeb"/>
        <w:jc w:val="both"/>
      </w:pPr>
      <w:r>
        <w:tab/>
      </w:r>
      <w:r w:rsidR="00071BDB" w:rsidRPr="00071BDB">
        <w:t xml:space="preserve">Given the fact-intensive nature of district court fact-finding, the shifting pattern of lower court decisions could only be due to </w:t>
      </w:r>
      <w:r w:rsidR="00CC4DD8">
        <w:t>an appellate</w:t>
      </w:r>
      <w:r w:rsidR="00071BDB" w:rsidRPr="00071BDB">
        <w:t xml:space="preserve"> court’s radical revision of the legal standards thought to govern habeas petitions, raising questions about whether the D.C. Circuit</w:t>
      </w:r>
      <w:r w:rsidR="00CC4DD8">
        <w:t xml:space="preserve"> has</w:t>
      </w:r>
      <w:r w:rsidR="00071BDB" w:rsidRPr="00071BDB">
        <w:t xml:space="preserve"> in fact correctly applied </w:t>
      </w:r>
      <w:r w:rsidRPr="008600DE">
        <w:rPr>
          <w:i/>
        </w:rPr>
        <w:t>Boum</w:t>
      </w:r>
      <w:r>
        <w:rPr>
          <w:i/>
        </w:rPr>
        <w:t>edi</w:t>
      </w:r>
      <w:r w:rsidRPr="008600DE">
        <w:rPr>
          <w:i/>
        </w:rPr>
        <w:t>ene</w:t>
      </w:r>
      <w:r w:rsidR="00071BDB" w:rsidRPr="00071BDB">
        <w:t xml:space="preserve">.  This </w:t>
      </w:r>
      <w:r w:rsidR="00CC4DD8">
        <w:t>R</w:t>
      </w:r>
      <w:r w:rsidR="00071BDB" w:rsidRPr="00071BDB">
        <w:t xml:space="preserve">eport </w:t>
      </w:r>
      <w:r w:rsidR="00CC4DD8">
        <w:t>analyzes</w:t>
      </w:r>
      <w:r w:rsidR="00CC4DD8" w:rsidRPr="00071BDB">
        <w:t xml:space="preserve"> </w:t>
      </w:r>
      <w:r w:rsidR="00071BDB" w:rsidRPr="00071BDB">
        <w:t>allegation</w:t>
      </w:r>
      <w:r w:rsidR="00CC4DD8">
        <w:t>s that</w:t>
      </w:r>
      <w:r w:rsidR="00D30E73">
        <w:t xml:space="preserve"> repeatedly</w:t>
      </w:r>
      <w:r w:rsidR="00CC4DD8">
        <w:t xml:space="preserve"> appear in </w:t>
      </w:r>
      <w:r w:rsidR="00071BDB" w:rsidRPr="00071BDB">
        <w:t>habeas case</w:t>
      </w:r>
      <w:r w:rsidR="00D30E73">
        <w:t>s</w:t>
      </w:r>
      <w:r w:rsidR="00071BDB" w:rsidRPr="00071BDB">
        <w:t xml:space="preserve"> to reveal the actual pattern of </w:t>
      </w:r>
      <w:r w:rsidR="00CC4DD8">
        <w:t xml:space="preserve">district court </w:t>
      </w:r>
      <w:r>
        <w:t>fact-finding</w:t>
      </w:r>
      <w:r w:rsidR="00071BDB" w:rsidRPr="00071BDB">
        <w:t>.</w:t>
      </w:r>
    </w:p>
    <w:p w:rsidR="00D30E73" w:rsidRDefault="00D30E73">
      <w:pPr>
        <w:rPr>
          <w:rFonts w:ascii="Times New Roman" w:eastAsia="Times New Roman" w:hAnsi="Times New Roman" w:cs="Times New Roman"/>
          <w:b/>
          <w:sz w:val="24"/>
          <w:szCs w:val="24"/>
        </w:rPr>
      </w:pPr>
      <w:r>
        <w:rPr>
          <w:b/>
        </w:rPr>
        <w:br w:type="page"/>
      </w:r>
    </w:p>
    <w:p w:rsidR="00D10AA2" w:rsidRDefault="00D10AA2" w:rsidP="00071BDB">
      <w:pPr>
        <w:pStyle w:val="NormalWeb"/>
        <w:jc w:val="both"/>
        <w:rPr>
          <w:b/>
        </w:rPr>
      </w:pPr>
      <w:r>
        <w:rPr>
          <w:b/>
        </w:rPr>
        <w:lastRenderedPageBreak/>
        <w:t>I.</w:t>
      </w:r>
      <w:r>
        <w:rPr>
          <w:b/>
        </w:rPr>
        <w:tab/>
        <w:t>Introduction</w:t>
      </w:r>
    </w:p>
    <w:p w:rsidR="005348E1" w:rsidRDefault="006B5BF2" w:rsidP="00D10AA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4E5B11">
        <w:rPr>
          <w:rFonts w:ascii="Times New Roman" w:hAnsi="Times New Roman" w:cs="Times New Roman"/>
          <w:sz w:val="24"/>
          <w:szCs w:val="24"/>
        </w:rPr>
        <w:t xml:space="preserve">This Report examines the outcomes of habeas review for Guantanamo detainees, the right to which was established by the Supreme Court </w:t>
      </w:r>
      <w:r w:rsidR="007F6B33">
        <w:rPr>
          <w:rFonts w:ascii="Times New Roman" w:hAnsi="Times New Roman" w:cs="Times New Roman"/>
          <w:sz w:val="24"/>
          <w:szCs w:val="24"/>
        </w:rPr>
        <w:t>in</w:t>
      </w:r>
      <w:r w:rsidR="004E5B11">
        <w:rPr>
          <w:rFonts w:ascii="Times New Roman" w:hAnsi="Times New Roman" w:cs="Times New Roman"/>
          <w:sz w:val="24"/>
          <w:szCs w:val="24"/>
        </w:rPr>
        <w:t xml:space="preserve"> </w:t>
      </w:r>
      <w:r w:rsidR="004E5B11">
        <w:rPr>
          <w:rFonts w:ascii="Times New Roman" w:hAnsi="Times New Roman" w:cs="Times New Roman"/>
          <w:i/>
          <w:sz w:val="24"/>
          <w:szCs w:val="24"/>
        </w:rPr>
        <w:t>Boumediene v. Bush</w:t>
      </w:r>
      <w:r w:rsidR="004E5B11" w:rsidRPr="007F6B33">
        <w:rPr>
          <w:rFonts w:ascii="Times New Roman" w:hAnsi="Times New Roman" w:cs="Times New Roman"/>
          <w:sz w:val="24"/>
          <w:szCs w:val="24"/>
        </w:rPr>
        <w:t>.</w:t>
      </w:r>
      <w:r w:rsidR="004E5B11" w:rsidRPr="007F6B33">
        <w:rPr>
          <w:rStyle w:val="FootnoteReference"/>
          <w:rFonts w:ascii="Times New Roman" w:hAnsi="Times New Roman" w:cs="Times New Roman"/>
          <w:sz w:val="24"/>
          <w:szCs w:val="24"/>
        </w:rPr>
        <w:footnoteReference w:id="1"/>
      </w:r>
      <w:r w:rsidR="004E5B11" w:rsidRPr="007F6B33">
        <w:rPr>
          <w:rFonts w:ascii="Times New Roman" w:hAnsi="Times New Roman" w:cs="Times New Roman"/>
          <w:sz w:val="24"/>
          <w:szCs w:val="24"/>
        </w:rPr>
        <w:t xml:space="preserve"> </w:t>
      </w:r>
      <w:r w:rsidR="007F6B33">
        <w:rPr>
          <w:rFonts w:ascii="Times New Roman" w:hAnsi="Times New Roman" w:cs="Times New Roman"/>
          <w:sz w:val="24"/>
          <w:szCs w:val="24"/>
        </w:rPr>
        <w:t xml:space="preserve"> </w:t>
      </w:r>
      <w:r w:rsidR="004E5B11">
        <w:rPr>
          <w:rFonts w:ascii="Times New Roman" w:hAnsi="Times New Roman" w:cs="Times New Roman"/>
          <w:sz w:val="24"/>
          <w:szCs w:val="24"/>
        </w:rPr>
        <w:t xml:space="preserve">It documents the reality that such review has been rendered essentially meaningless by the rulings of the United States Court of Appeals for the District of Columbia Circuit. </w:t>
      </w:r>
      <w:r w:rsidR="007F6B33">
        <w:rPr>
          <w:rFonts w:ascii="Times New Roman" w:hAnsi="Times New Roman" w:cs="Times New Roman"/>
          <w:sz w:val="24"/>
          <w:szCs w:val="24"/>
        </w:rPr>
        <w:t xml:space="preserve"> </w:t>
      </w:r>
      <w:r w:rsidR="004E5B11">
        <w:rPr>
          <w:rFonts w:ascii="Times New Roman" w:hAnsi="Times New Roman" w:cs="Times New Roman"/>
          <w:sz w:val="24"/>
          <w:szCs w:val="24"/>
        </w:rPr>
        <w:t xml:space="preserve">At this point, an </w:t>
      </w:r>
      <w:r w:rsidR="007F6B33">
        <w:rPr>
          <w:rFonts w:ascii="Times New Roman" w:hAnsi="Times New Roman" w:cs="Times New Roman"/>
          <w:sz w:val="24"/>
          <w:szCs w:val="24"/>
        </w:rPr>
        <w:t>unmistakable</w:t>
      </w:r>
      <w:r w:rsidR="004E5B11">
        <w:rPr>
          <w:rFonts w:ascii="Times New Roman" w:hAnsi="Times New Roman" w:cs="Times New Roman"/>
          <w:sz w:val="24"/>
          <w:szCs w:val="24"/>
        </w:rPr>
        <w:t xml:space="preserve"> pattern has emerged in decisions.  </w:t>
      </w:r>
      <w:r w:rsidR="00334759">
        <w:rPr>
          <w:rFonts w:ascii="Times New Roman" w:hAnsi="Times New Roman" w:cs="Times New Roman"/>
          <w:sz w:val="24"/>
          <w:szCs w:val="24"/>
        </w:rPr>
        <w:t xml:space="preserve">On </w:t>
      </w:r>
      <w:r w:rsidR="001017B6">
        <w:rPr>
          <w:rFonts w:ascii="Times New Roman" w:hAnsi="Times New Roman" w:cs="Times New Roman"/>
          <w:sz w:val="24"/>
          <w:szCs w:val="24"/>
        </w:rPr>
        <w:t>July 13, 2010</w:t>
      </w:r>
      <w:r w:rsidR="00334759">
        <w:rPr>
          <w:rFonts w:ascii="Times New Roman" w:hAnsi="Times New Roman" w:cs="Times New Roman"/>
          <w:sz w:val="24"/>
          <w:szCs w:val="24"/>
        </w:rPr>
        <w:t>, t</w:t>
      </w:r>
      <w:r w:rsidR="00EF65E6">
        <w:rPr>
          <w:rFonts w:ascii="Times New Roman" w:hAnsi="Times New Roman" w:cs="Times New Roman"/>
          <w:sz w:val="24"/>
          <w:szCs w:val="24"/>
        </w:rPr>
        <w:t xml:space="preserve">he </w:t>
      </w:r>
      <w:r w:rsidR="007F6B33">
        <w:rPr>
          <w:rFonts w:ascii="Times New Roman" w:hAnsi="Times New Roman" w:cs="Times New Roman"/>
          <w:sz w:val="24"/>
          <w:szCs w:val="24"/>
        </w:rPr>
        <w:t xml:space="preserve">D.C. Circuit </w:t>
      </w:r>
      <w:r>
        <w:rPr>
          <w:rFonts w:ascii="Times New Roman" w:hAnsi="Times New Roman" w:cs="Times New Roman"/>
          <w:sz w:val="24"/>
          <w:szCs w:val="24"/>
        </w:rPr>
        <w:t>revers</w:t>
      </w:r>
      <w:r w:rsidR="004E5B11">
        <w:rPr>
          <w:rFonts w:ascii="Times New Roman" w:hAnsi="Times New Roman" w:cs="Times New Roman"/>
          <w:sz w:val="24"/>
          <w:szCs w:val="24"/>
        </w:rPr>
        <w:t xml:space="preserve">ed a habeas grant of relief </w:t>
      </w:r>
      <w:r w:rsidR="00EF65E6">
        <w:rPr>
          <w:rFonts w:ascii="Times New Roman" w:hAnsi="Times New Roman" w:cs="Times New Roman"/>
          <w:sz w:val="24"/>
          <w:szCs w:val="24"/>
        </w:rPr>
        <w:t xml:space="preserve">in </w:t>
      </w:r>
      <w:r w:rsidR="00EF65E6">
        <w:rPr>
          <w:rFonts w:ascii="Times New Roman" w:hAnsi="Times New Roman" w:cs="Times New Roman"/>
          <w:i/>
          <w:sz w:val="24"/>
          <w:szCs w:val="24"/>
        </w:rPr>
        <w:t>Al-Adahi</w:t>
      </w:r>
      <w:r w:rsidR="00334759">
        <w:rPr>
          <w:rFonts w:ascii="Times New Roman" w:hAnsi="Times New Roman" w:cs="Times New Roman"/>
          <w:i/>
          <w:sz w:val="24"/>
          <w:szCs w:val="24"/>
        </w:rPr>
        <w:t xml:space="preserve"> v. Obama</w:t>
      </w:r>
      <w:r w:rsidR="004E5B11" w:rsidRPr="001017B6">
        <w:rPr>
          <w:rFonts w:ascii="Times New Roman" w:hAnsi="Times New Roman" w:cs="Times New Roman"/>
          <w:sz w:val="24"/>
          <w:szCs w:val="24"/>
        </w:rPr>
        <w:t>,</w:t>
      </w:r>
      <w:r w:rsidR="0023137F">
        <w:rPr>
          <w:rStyle w:val="FootnoteReference"/>
          <w:rFonts w:ascii="Times New Roman" w:hAnsi="Times New Roman" w:cs="Times New Roman"/>
          <w:sz w:val="24"/>
          <w:szCs w:val="24"/>
        </w:rPr>
        <w:footnoteReference w:id="2"/>
      </w:r>
      <w:r w:rsidR="004E5B11">
        <w:rPr>
          <w:rFonts w:ascii="Times New Roman" w:hAnsi="Times New Roman" w:cs="Times New Roman"/>
          <w:i/>
          <w:sz w:val="24"/>
          <w:szCs w:val="24"/>
        </w:rPr>
        <w:t xml:space="preserve"> </w:t>
      </w:r>
      <w:r w:rsidR="007F6B33">
        <w:rPr>
          <w:rFonts w:ascii="Times New Roman" w:hAnsi="Times New Roman" w:cs="Times New Roman"/>
          <w:sz w:val="24"/>
          <w:szCs w:val="24"/>
        </w:rPr>
        <w:t xml:space="preserve">and </w:t>
      </w:r>
      <w:r w:rsidR="004E5B11">
        <w:rPr>
          <w:rFonts w:ascii="Times New Roman" w:hAnsi="Times New Roman" w:cs="Times New Roman"/>
          <w:sz w:val="24"/>
          <w:szCs w:val="24"/>
        </w:rPr>
        <w:t xml:space="preserve">the law established in that case triggered </w:t>
      </w:r>
      <w:r w:rsidR="00EF65E6">
        <w:rPr>
          <w:rFonts w:ascii="Times New Roman" w:hAnsi="Times New Roman" w:cs="Times New Roman"/>
          <w:sz w:val="24"/>
          <w:szCs w:val="24"/>
        </w:rPr>
        <w:t xml:space="preserve">a </w:t>
      </w:r>
      <w:r w:rsidR="007F6B33">
        <w:rPr>
          <w:rFonts w:ascii="Times New Roman" w:hAnsi="Times New Roman" w:cs="Times New Roman"/>
          <w:sz w:val="24"/>
          <w:szCs w:val="24"/>
        </w:rPr>
        <w:t>wave of denied petitions</w:t>
      </w:r>
      <w:r w:rsidR="004E5B11">
        <w:rPr>
          <w:rFonts w:ascii="Times New Roman" w:hAnsi="Times New Roman" w:cs="Times New Roman"/>
          <w:sz w:val="24"/>
          <w:szCs w:val="24"/>
        </w:rPr>
        <w:t xml:space="preserve"> </w:t>
      </w:r>
      <w:r w:rsidR="00EF65E6">
        <w:rPr>
          <w:rFonts w:ascii="Times New Roman" w:hAnsi="Times New Roman" w:cs="Times New Roman"/>
          <w:sz w:val="24"/>
          <w:szCs w:val="24"/>
        </w:rPr>
        <w:t>in habeas litigation</w:t>
      </w:r>
      <w:r w:rsidR="004E5B11" w:rsidRPr="004E5B11">
        <w:rPr>
          <w:rFonts w:ascii="Times New Roman" w:hAnsi="Times New Roman" w:cs="Times New Roman"/>
          <w:sz w:val="24"/>
          <w:szCs w:val="24"/>
        </w:rPr>
        <w:t xml:space="preserve"> </w:t>
      </w:r>
      <w:r w:rsidR="004E5B11">
        <w:rPr>
          <w:rFonts w:ascii="Times New Roman" w:hAnsi="Times New Roman" w:cs="Times New Roman"/>
          <w:sz w:val="24"/>
          <w:szCs w:val="24"/>
        </w:rPr>
        <w:t>in the United States District Court for the District of Columbia, the court hearing all Guantanamo habeas petitions</w:t>
      </w:r>
      <w:r w:rsidR="00334759">
        <w:rPr>
          <w:rFonts w:ascii="Times New Roman" w:hAnsi="Times New Roman" w:cs="Times New Roman"/>
          <w:sz w:val="24"/>
          <w:szCs w:val="24"/>
        </w:rPr>
        <w:t xml:space="preserve"> in the first instance</w:t>
      </w:r>
      <w:r w:rsidR="007F6B33">
        <w:rPr>
          <w:rFonts w:ascii="Times New Roman" w:hAnsi="Times New Roman" w:cs="Times New Roman"/>
          <w:sz w:val="24"/>
          <w:szCs w:val="24"/>
        </w:rPr>
        <w:t xml:space="preserve">.  </w:t>
      </w:r>
      <w:r w:rsidR="004E5B11">
        <w:rPr>
          <w:rFonts w:ascii="Times New Roman" w:hAnsi="Times New Roman" w:cs="Times New Roman"/>
          <w:sz w:val="24"/>
          <w:szCs w:val="24"/>
        </w:rPr>
        <w:t xml:space="preserve">Before </w:t>
      </w:r>
      <w:r w:rsidR="004E5B11">
        <w:rPr>
          <w:rFonts w:ascii="Times New Roman" w:hAnsi="Times New Roman" w:cs="Times New Roman"/>
          <w:i/>
          <w:sz w:val="24"/>
          <w:szCs w:val="24"/>
        </w:rPr>
        <w:t>Al-Adahi</w:t>
      </w:r>
      <w:r w:rsidR="004E5B11">
        <w:rPr>
          <w:rFonts w:ascii="Times New Roman" w:hAnsi="Times New Roman" w:cs="Times New Roman"/>
          <w:sz w:val="24"/>
          <w:szCs w:val="24"/>
        </w:rPr>
        <w:t xml:space="preserve">, </w:t>
      </w:r>
      <w:r w:rsidR="0031457D">
        <w:rPr>
          <w:rFonts w:ascii="Times New Roman" w:hAnsi="Times New Roman" w:cs="Times New Roman"/>
          <w:sz w:val="24"/>
          <w:szCs w:val="24"/>
        </w:rPr>
        <w:t>detainees were more likely than not to have their</w:t>
      </w:r>
      <w:r w:rsidR="004E5B11">
        <w:rPr>
          <w:rFonts w:ascii="Times New Roman" w:hAnsi="Times New Roman" w:cs="Times New Roman"/>
          <w:sz w:val="24"/>
          <w:szCs w:val="24"/>
        </w:rPr>
        <w:t xml:space="preserve"> habeas petitions</w:t>
      </w:r>
      <w:r w:rsidR="0031457D">
        <w:rPr>
          <w:rFonts w:ascii="Times New Roman" w:hAnsi="Times New Roman" w:cs="Times New Roman"/>
          <w:sz w:val="24"/>
          <w:szCs w:val="24"/>
        </w:rPr>
        <w:t xml:space="preserve"> granted</w:t>
      </w:r>
      <w:r w:rsidR="004E5B11">
        <w:rPr>
          <w:rFonts w:ascii="Times New Roman" w:hAnsi="Times New Roman" w:cs="Times New Roman"/>
          <w:sz w:val="24"/>
          <w:szCs w:val="24"/>
        </w:rPr>
        <w:t xml:space="preserve"> </w:t>
      </w:r>
      <w:r w:rsidR="0031457D">
        <w:rPr>
          <w:rFonts w:ascii="Times New Roman" w:hAnsi="Times New Roman" w:cs="Times New Roman"/>
          <w:sz w:val="24"/>
          <w:szCs w:val="24"/>
        </w:rPr>
        <w:t>by the</w:t>
      </w:r>
      <w:r w:rsidR="004E5B11">
        <w:rPr>
          <w:rFonts w:ascii="Times New Roman" w:hAnsi="Times New Roman" w:cs="Times New Roman"/>
          <w:sz w:val="24"/>
          <w:szCs w:val="24"/>
        </w:rPr>
        <w:t xml:space="preserve"> district court</w:t>
      </w:r>
      <w:r w:rsidR="007F6B33">
        <w:rPr>
          <w:rFonts w:ascii="Times New Roman" w:hAnsi="Times New Roman" w:cs="Times New Roman"/>
          <w:sz w:val="24"/>
          <w:szCs w:val="24"/>
        </w:rPr>
        <w:t>.  Since</w:t>
      </w:r>
      <w:r w:rsidR="004E5B11">
        <w:rPr>
          <w:rFonts w:ascii="Times New Roman" w:hAnsi="Times New Roman" w:cs="Times New Roman"/>
          <w:sz w:val="24"/>
          <w:szCs w:val="24"/>
        </w:rPr>
        <w:t xml:space="preserve"> </w:t>
      </w:r>
      <w:r w:rsidR="004E5B11">
        <w:rPr>
          <w:rFonts w:ascii="Times New Roman" w:hAnsi="Times New Roman" w:cs="Times New Roman"/>
          <w:i/>
          <w:sz w:val="24"/>
          <w:szCs w:val="24"/>
        </w:rPr>
        <w:t>Al-Adahi</w:t>
      </w:r>
      <w:r w:rsidR="004E5B11">
        <w:rPr>
          <w:rFonts w:ascii="Times New Roman" w:hAnsi="Times New Roman" w:cs="Times New Roman"/>
          <w:sz w:val="24"/>
          <w:szCs w:val="24"/>
        </w:rPr>
        <w:t>, district court</w:t>
      </w:r>
      <w:r w:rsidR="00334759">
        <w:rPr>
          <w:rFonts w:ascii="Times New Roman" w:hAnsi="Times New Roman" w:cs="Times New Roman"/>
          <w:sz w:val="24"/>
          <w:szCs w:val="24"/>
        </w:rPr>
        <w:t>s</w:t>
      </w:r>
      <w:r w:rsidR="004E5B11">
        <w:rPr>
          <w:rFonts w:ascii="Times New Roman" w:hAnsi="Times New Roman" w:cs="Times New Roman"/>
          <w:sz w:val="24"/>
          <w:szCs w:val="24"/>
        </w:rPr>
        <w:t xml:space="preserve"> ha</w:t>
      </w:r>
      <w:r w:rsidR="00334759">
        <w:rPr>
          <w:rFonts w:ascii="Times New Roman" w:hAnsi="Times New Roman" w:cs="Times New Roman"/>
          <w:sz w:val="24"/>
          <w:szCs w:val="24"/>
        </w:rPr>
        <w:t>ve</w:t>
      </w:r>
      <w:r w:rsidR="004E5B11">
        <w:rPr>
          <w:rFonts w:ascii="Times New Roman" w:hAnsi="Times New Roman" w:cs="Times New Roman"/>
          <w:sz w:val="24"/>
          <w:szCs w:val="24"/>
        </w:rPr>
        <w:t xml:space="preserve"> decided twelve petitions, eleven of which were denied.  </w:t>
      </w:r>
      <w:r w:rsidR="004E5B11">
        <w:rPr>
          <w:rFonts w:ascii="Times New Roman" w:hAnsi="Times New Roman" w:cs="Times New Roman"/>
          <w:i/>
          <w:sz w:val="24"/>
          <w:szCs w:val="24"/>
        </w:rPr>
        <w:t>Latif</w:t>
      </w:r>
      <w:r w:rsidR="001017B6">
        <w:rPr>
          <w:rFonts w:ascii="Times New Roman" w:hAnsi="Times New Roman" w:cs="Times New Roman"/>
          <w:i/>
          <w:sz w:val="24"/>
          <w:szCs w:val="24"/>
        </w:rPr>
        <w:t xml:space="preserve"> v. Obama</w:t>
      </w:r>
      <w:r w:rsidR="004E5B11">
        <w:rPr>
          <w:rFonts w:ascii="Times New Roman" w:hAnsi="Times New Roman" w:cs="Times New Roman"/>
          <w:sz w:val="24"/>
          <w:szCs w:val="24"/>
        </w:rPr>
        <w:t>,</w:t>
      </w:r>
      <w:r w:rsidR="0023137F">
        <w:rPr>
          <w:rStyle w:val="FootnoteReference"/>
          <w:rFonts w:ascii="Times New Roman" w:hAnsi="Times New Roman" w:cs="Times New Roman"/>
          <w:sz w:val="24"/>
          <w:szCs w:val="24"/>
        </w:rPr>
        <w:footnoteReference w:id="3"/>
      </w:r>
      <w:r w:rsidR="004E5B11">
        <w:rPr>
          <w:rFonts w:ascii="Times New Roman" w:hAnsi="Times New Roman" w:cs="Times New Roman"/>
          <w:sz w:val="24"/>
          <w:szCs w:val="24"/>
        </w:rPr>
        <w:t xml:space="preserve"> the sole grant, has since been reversed and remanded by the D.C. Circuit.  </w:t>
      </w:r>
      <w:r w:rsidR="00EF65E6">
        <w:rPr>
          <w:rFonts w:ascii="Times New Roman" w:hAnsi="Times New Roman" w:cs="Times New Roman"/>
          <w:sz w:val="24"/>
          <w:szCs w:val="24"/>
        </w:rPr>
        <w:t xml:space="preserve"> </w:t>
      </w:r>
    </w:p>
    <w:p w:rsidR="00D30E73" w:rsidRDefault="005348E1" w:rsidP="00D10AA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EF65E6">
        <w:rPr>
          <w:rFonts w:ascii="Times New Roman" w:hAnsi="Times New Roman" w:cs="Times New Roman"/>
          <w:sz w:val="24"/>
          <w:szCs w:val="24"/>
        </w:rPr>
        <w:t xml:space="preserve">Beyond the stark response of the district court, the D.C. Circuit has remained active since </w:t>
      </w:r>
      <w:r w:rsidR="00EF65E6">
        <w:rPr>
          <w:rFonts w:ascii="Times New Roman" w:hAnsi="Times New Roman" w:cs="Times New Roman"/>
          <w:i/>
          <w:sz w:val="24"/>
          <w:szCs w:val="24"/>
        </w:rPr>
        <w:t>Al-Adahi</w:t>
      </w:r>
      <w:r w:rsidR="00EF65E6">
        <w:rPr>
          <w:rFonts w:ascii="Times New Roman" w:hAnsi="Times New Roman" w:cs="Times New Roman"/>
          <w:sz w:val="24"/>
          <w:szCs w:val="24"/>
        </w:rPr>
        <w:t>, reversing two grants</w:t>
      </w:r>
      <w:r w:rsidR="007F6B33">
        <w:rPr>
          <w:rStyle w:val="FootnoteReference"/>
          <w:rFonts w:ascii="Times New Roman" w:hAnsi="Times New Roman" w:cs="Times New Roman"/>
          <w:sz w:val="24"/>
          <w:szCs w:val="24"/>
        </w:rPr>
        <w:footnoteReference w:id="4"/>
      </w:r>
      <w:r w:rsidR="00EF65E6">
        <w:rPr>
          <w:rFonts w:ascii="Times New Roman" w:hAnsi="Times New Roman" w:cs="Times New Roman"/>
          <w:sz w:val="24"/>
          <w:szCs w:val="24"/>
        </w:rPr>
        <w:t xml:space="preserve"> (</w:t>
      </w:r>
      <w:r w:rsidR="00EF65E6">
        <w:rPr>
          <w:rFonts w:ascii="Times New Roman" w:hAnsi="Times New Roman" w:cs="Times New Roman"/>
          <w:i/>
          <w:sz w:val="24"/>
          <w:szCs w:val="24"/>
        </w:rPr>
        <w:t>Uthman</w:t>
      </w:r>
      <w:r w:rsidR="00EF65E6">
        <w:rPr>
          <w:rFonts w:ascii="Times New Roman" w:hAnsi="Times New Roman" w:cs="Times New Roman"/>
          <w:sz w:val="24"/>
          <w:szCs w:val="24"/>
        </w:rPr>
        <w:t xml:space="preserve">, </w:t>
      </w:r>
      <w:r w:rsidR="00EF65E6">
        <w:rPr>
          <w:rFonts w:ascii="Times New Roman" w:hAnsi="Times New Roman" w:cs="Times New Roman"/>
          <w:i/>
          <w:sz w:val="24"/>
          <w:szCs w:val="24"/>
        </w:rPr>
        <w:t>Almerfedi</w:t>
      </w:r>
      <w:r w:rsidR="00EF65E6">
        <w:rPr>
          <w:rFonts w:ascii="Times New Roman" w:hAnsi="Times New Roman" w:cs="Times New Roman"/>
          <w:sz w:val="24"/>
          <w:szCs w:val="24"/>
        </w:rPr>
        <w:t xml:space="preserve">), </w:t>
      </w:r>
      <w:r w:rsidR="00334759">
        <w:rPr>
          <w:rFonts w:ascii="Times New Roman" w:hAnsi="Times New Roman" w:cs="Times New Roman"/>
          <w:sz w:val="24"/>
          <w:szCs w:val="24"/>
        </w:rPr>
        <w:t xml:space="preserve">vacating and </w:t>
      </w:r>
      <w:r w:rsidR="00EF65E6">
        <w:rPr>
          <w:rFonts w:ascii="Times New Roman" w:hAnsi="Times New Roman" w:cs="Times New Roman"/>
          <w:sz w:val="24"/>
          <w:szCs w:val="24"/>
        </w:rPr>
        <w:t>remanding three grants (</w:t>
      </w:r>
      <w:r w:rsidR="00EF65E6">
        <w:rPr>
          <w:rFonts w:ascii="Times New Roman" w:hAnsi="Times New Roman" w:cs="Times New Roman"/>
          <w:i/>
          <w:sz w:val="24"/>
          <w:szCs w:val="24"/>
        </w:rPr>
        <w:t>Salahi</w:t>
      </w:r>
      <w:r w:rsidR="00EF65E6">
        <w:rPr>
          <w:rFonts w:ascii="Times New Roman" w:hAnsi="Times New Roman" w:cs="Times New Roman"/>
          <w:sz w:val="24"/>
          <w:szCs w:val="24"/>
        </w:rPr>
        <w:t xml:space="preserve">, </w:t>
      </w:r>
      <w:r w:rsidR="00EF65E6">
        <w:rPr>
          <w:rFonts w:ascii="Times New Roman" w:hAnsi="Times New Roman" w:cs="Times New Roman"/>
          <w:i/>
          <w:sz w:val="24"/>
          <w:szCs w:val="24"/>
        </w:rPr>
        <w:t>Hatim</w:t>
      </w:r>
      <w:r w:rsidR="00EF65E6">
        <w:rPr>
          <w:rFonts w:ascii="Times New Roman" w:hAnsi="Times New Roman" w:cs="Times New Roman"/>
          <w:sz w:val="24"/>
          <w:szCs w:val="24"/>
        </w:rPr>
        <w:t xml:space="preserve">, </w:t>
      </w:r>
      <w:r w:rsidR="00EF65E6">
        <w:rPr>
          <w:rFonts w:ascii="Times New Roman" w:hAnsi="Times New Roman" w:cs="Times New Roman"/>
          <w:i/>
          <w:sz w:val="24"/>
          <w:szCs w:val="24"/>
        </w:rPr>
        <w:t>Latif</w:t>
      </w:r>
      <w:r w:rsidR="00EF65E6">
        <w:rPr>
          <w:rFonts w:ascii="Times New Roman" w:hAnsi="Times New Roman" w:cs="Times New Roman"/>
          <w:sz w:val="24"/>
          <w:szCs w:val="24"/>
        </w:rPr>
        <w:t>), affirming eight denials (</w:t>
      </w:r>
      <w:r w:rsidR="00EF65E6" w:rsidRPr="00EF65E6">
        <w:rPr>
          <w:rFonts w:ascii="Times New Roman" w:hAnsi="Times New Roman" w:cs="Times New Roman"/>
          <w:i/>
          <w:sz w:val="24"/>
          <w:szCs w:val="24"/>
        </w:rPr>
        <w:t>Al-Bihani</w:t>
      </w:r>
      <w:r w:rsidR="00EF65E6">
        <w:rPr>
          <w:rFonts w:ascii="Times New Roman" w:hAnsi="Times New Roman" w:cs="Times New Roman"/>
          <w:sz w:val="24"/>
          <w:szCs w:val="24"/>
        </w:rPr>
        <w:t xml:space="preserve">, </w:t>
      </w:r>
      <w:r w:rsidR="00EF65E6" w:rsidRPr="00EF65E6">
        <w:rPr>
          <w:rFonts w:ascii="Times New Roman" w:hAnsi="Times New Roman" w:cs="Times New Roman"/>
          <w:i/>
          <w:sz w:val="24"/>
          <w:szCs w:val="24"/>
        </w:rPr>
        <w:t>Ali</w:t>
      </w:r>
      <w:r w:rsidR="00EF65E6">
        <w:rPr>
          <w:rFonts w:ascii="Times New Roman" w:hAnsi="Times New Roman" w:cs="Times New Roman"/>
          <w:sz w:val="24"/>
          <w:szCs w:val="24"/>
        </w:rPr>
        <w:t xml:space="preserve">, </w:t>
      </w:r>
      <w:r w:rsidR="00EF65E6" w:rsidRPr="00EF65E6">
        <w:rPr>
          <w:rFonts w:ascii="Times New Roman" w:hAnsi="Times New Roman" w:cs="Times New Roman"/>
          <w:i/>
          <w:sz w:val="24"/>
          <w:szCs w:val="24"/>
        </w:rPr>
        <w:t>Esmail</w:t>
      </w:r>
      <w:r w:rsidR="00EF65E6">
        <w:rPr>
          <w:rFonts w:ascii="Times New Roman" w:hAnsi="Times New Roman" w:cs="Times New Roman"/>
          <w:sz w:val="24"/>
          <w:szCs w:val="24"/>
        </w:rPr>
        <w:t xml:space="preserve">, </w:t>
      </w:r>
      <w:r w:rsidR="00EF65E6" w:rsidRPr="00EF65E6">
        <w:rPr>
          <w:rFonts w:ascii="Times New Roman" w:hAnsi="Times New Roman" w:cs="Times New Roman"/>
          <w:i/>
          <w:sz w:val="24"/>
          <w:szCs w:val="24"/>
        </w:rPr>
        <w:t>Madhwani</w:t>
      </w:r>
      <w:r w:rsidR="00EF65E6">
        <w:rPr>
          <w:rFonts w:ascii="Times New Roman" w:hAnsi="Times New Roman" w:cs="Times New Roman"/>
          <w:sz w:val="24"/>
          <w:szCs w:val="24"/>
        </w:rPr>
        <w:t xml:space="preserve">, </w:t>
      </w:r>
      <w:r w:rsidR="00EF65E6" w:rsidRPr="00EF65E6">
        <w:rPr>
          <w:rFonts w:ascii="Times New Roman" w:hAnsi="Times New Roman" w:cs="Times New Roman"/>
          <w:i/>
          <w:sz w:val="24"/>
          <w:szCs w:val="24"/>
        </w:rPr>
        <w:t>al Alwi</w:t>
      </w:r>
      <w:r w:rsidR="00EF65E6">
        <w:rPr>
          <w:rFonts w:ascii="Times New Roman" w:hAnsi="Times New Roman" w:cs="Times New Roman"/>
          <w:sz w:val="24"/>
          <w:szCs w:val="24"/>
        </w:rPr>
        <w:t xml:space="preserve">, </w:t>
      </w:r>
      <w:r w:rsidR="00EF65E6" w:rsidRPr="00EF65E6">
        <w:rPr>
          <w:rFonts w:ascii="Times New Roman" w:hAnsi="Times New Roman" w:cs="Times New Roman"/>
          <w:i/>
          <w:sz w:val="24"/>
          <w:szCs w:val="24"/>
        </w:rPr>
        <w:t>Khan</w:t>
      </w:r>
      <w:r w:rsidR="00EF65E6">
        <w:rPr>
          <w:rFonts w:ascii="Times New Roman" w:hAnsi="Times New Roman" w:cs="Times New Roman"/>
          <w:sz w:val="24"/>
          <w:szCs w:val="24"/>
        </w:rPr>
        <w:t xml:space="preserve">, </w:t>
      </w:r>
      <w:r w:rsidR="00EF65E6" w:rsidRPr="00EF65E6">
        <w:rPr>
          <w:rFonts w:ascii="Times New Roman" w:hAnsi="Times New Roman" w:cs="Times New Roman"/>
          <w:i/>
          <w:sz w:val="24"/>
          <w:szCs w:val="24"/>
        </w:rPr>
        <w:t>Kandari</w:t>
      </w:r>
      <w:r w:rsidR="00EF65E6">
        <w:rPr>
          <w:rFonts w:ascii="Times New Roman" w:hAnsi="Times New Roman" w:cs="Times New Roman"/>
          <w:sz w:val="24"/>
          <w:szCs w:val="24"/>
        </w:rPr>
        <w:t xml:space="preserve">, </w:t>
      </w:r>
      <w:r w:rsidR="00EF65E6" w:rsidRPr="00EF65E6">
        <w:rPr>
          <w:rFonts w:ascii="Times New Roman" w:hAnsi="Times New Roman" w:cs="Times New Roman"/>
          <w:i/>
          <w:sz w:val="24"/>
          <w:szCs w:val="24"/>
        </w:rPr>
        <w:t>Sulayman</w:t>
      </w:r>
      <w:r w:rsidR="00EF65E6">
        <w:rPr>
          <w:rFonts w:ascii="Times New Roman" w:hAnsi="Times New Roman" w:cs="Times New Roman"/>
          <w:sz w:val="24"/>
          <w:szCs w:val="24"/>
        </w:rPr>
        <w:t xml:space="preserve">), and </w:t>
      </w:r>
      <w:r w:rsidR="00334759">
        <w:rPr>
          <w:rFonts w:ascii="Times New Roman" w:hAnsi="Times New Roman" w:cs="Times New Roman"/>
          <w:sz w:val="24"/>
          <w:szCs w:val="24"/>
        </w:rPr>
        <w:t xml:space="preserve">reversing and </w:t>
      </w:r>
      <w:r w:rsidR="00EF65E6">
        <w:rPr>
          <w:rFonts w:ascii="Times New Roman" w:hAnsi="Times New Roman" w:cs="Times New Roman"/>
          <w:sz w:val="24"/>
          <w:szCs w:val="24"/>
        </w:rPr>
        <w:t>remanding one denial (</w:t>
      </w:r>
      <w:r w:rsidR="00EF65E6" w:rsidRPr="00EF65E6">
        <w:rPr>
          <w:rFonts w:ascii="Times New Roman" w:hAnsi="Times New Roman" w:cs="Times New Roman"/>
          <w:i/>
          <w:sz w:val="24"/>
          <w:szCs w:val="24"/>
        </w:rPr>
        <w:t>Warafi</w:t>
      </w:r>
      <w:r w:rsidR="00EF65E6">
        <w:rPr>
          <w:rFonts w:ascii="Times New Roman" w:hAnsi="Times New Roman" w:cs="Times New Roman"/>
          <w:sz w:val="24"/>
          <w:szCs w:val="24"/>
        </w:rPr>
        <w:t>).  Though it was unclear at the time of Al-Adahi’s cert</w:t>
      </w:r>
      <w:r w:rsidR="004E5B11">
        <w:rPr>
          <w:rFonts w:ascii="Times New Roman" w:hAnsi="Times New Roman" w:cs="Times New Roman"/>
          <w:sz w:val="24"/>
          <w:szCs w:val="24"/>
        </w:rPr>
        <w:t>iorari</w:t>
      </w:r>
      <w:r w:rsidR="00EF65E6">
        <w:rPr>
          <w:rFonts w:ascii="Times New Roman" w:hAnsi="Times New Roman" w:cs="Times New Roman"/>
          <w:sz w:val="24"/>
          <w:szCs w:val="24"/>
        </w:rPr>
        <w:t xml:space="preserve"> petition, a clear pattern has </w:t>
      </w:r>
      <w:r w:rsidR="004E5B11">
        <w:rPr>
          <w:rFonts w:ascii="Times New Roman" w:hAnsi="Times New Roman" w:cs="Times New Roman"/>
          <w:sz w:val="24"/>
          <w:szCs w:val="24"/>
        </w:rPr>
        <w:t xml:space="preserve">now </w:t>
      </w:r>
      <w:r w:rsidR="00EF65E6">
        <w:rPr>
          <w:rFonts w:ascii="Times New Roman" w:hAnsi="Times New Roman" w:cs="Times New Roman"/>
          <w:sz w:val="24"/>
          <w:szCs w:val="24"/>
        </w:rPr>
        <w:t>emerged</w:t>
      </w:r>
      <w:r w:rsidR="004E5B11">
        <w:rPr>
          <w:rFonts w:ascii="Times New Roman" w:hAnsi="Times New Roman" w:cs="Times New Roman"/>
          <w:sz w:val="24"/>
          <w:szCs w:val="24"/>
        </w:rPr>
        <w:t>:</w:t>
      </w:r>
      <w:r w:rsidR="008F656E">
        <w:rPr>
          <w:rFonts w:ascii="Times New Roman" w:hAnsi="Times New Roman" w:cs="Times New Roman"/>
          <w:sz w:val="24"/>
          <w:szCs w:val="24"/>
        </w:rPr>
        <w:t xml:space="preserve"> </w:t>
      </w:r>
      <w:r w:rsidR="00EF65E6">
        <w:rPr>
          <w:rFonts w:ascii="Times New Roman" w:hAnsi="Times New Roman" w:cs="Times New Roman"/>
          <w:sz w:val="24"/>
          <w:szCs w:val="24"/>
        </w:rPr>
        <w:t xml:space="preserve">almost no detainees will prevail at the district court level, and if </w:t>
      </w:r>
      <w:r w:rsidR="004E5B11">
        <w:rPr>
          <w:rFonts w:ascii="Times New Roman" w:hAnsi="Times New Roman" w:cs="Times New Roman"/>
          <w:sz w:val="24"/>
          <w:szCs w:val="24"/>
        </w:rPr>
        <w:t>any</w:t>
      </w:r>
      <w:r w:rsidR="00EF65E6">
        <w:rPr>
          <w:rFonts w:ascii="Times New Roman" w:hAnsi="Times New Roman" w:cs="Times New Roman"/>
          <w:sz w:val="24"/>
          <w:szCs w:val="24"/>
        </w:rPr>
        <w:t xml:space="preserve"> do, the D.C. Circuit </w:t>
      </w:r>
      <w:r w:rsidR="00334759">
        <w:rPr>
          <w:rFonts w:ascii="Times New Roman" w:hAnsi="Times New Roman" w:cs="Times New Roman"/>
          <w:sz w:val="24"/>
          <w:szCs w:val="24"/>
        </w:rPr>
        <w:t xml:space="preserve">will likely </w:t>
      </w:r>
      <w:r w:rsidR="00EF65E6">
        <w:rPr>
          <w:rFonts w:ascii="Times New Roman" w:hAnsi="Times New Roman" w:cs="Times New Roman"/>
          <w:sz w:val="24"/>
          <w:szCs w:val="24"/>
        </w:rPr>
        <w:t>reverse the decision</w:t>
      </w:r>
      <w:r w:rsidR="00334759">
        <w:rPr>
          <w:rFonts w:ascii="Times New Roman" w:hAnsi="Times New Roman" w:cs="Times New Roman"/>
          <w:sz w:val="24"/>
          <w:szCs w:val="24"/>
        </w:rPr>
        <w:t xml:space="preserve"> to grant them relief.</w:t>
      </w:r>
      <w:r w:rsidR="0023137F">
        <w:rPr>
          <w:rFonts w:ascii="Times New Roman" w:hAnsi="Times New Roman" w:cs="Times New Roman"/>
          <w:sz w:val="24"/>
          <w:szCs w:val="24"/>
        </w:rPr>
        <w:t xml:space="preserve"> </w:t>
      </w:r>
      <w:r w:rsidR="00EF65E6">
        <w:rPr>
          <w:rFonts w:ascii="Times New Roman" w:hAnsi="Times New Roman" w:cs="Times New Roman"/>
          <w:sz w:val="24"/>
          <w:szCs w:val="24"/>
        </w:rPr>
        <w:t xml:space="preserve"> </w:t>
      </w:r>
    </w:p>
    <w:p w:rsidR="00D30E73" w:rsidRPr="00B251F3" w:rsidRDefault="00D30E73" w:rsidP="00D10AA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334759">
        <w:rPr>
          <w:rFonts w:ascii="Times New Roman" w:hAnsi="Times New Roman" w:cs="Times New Roman"/>
          <w:sz w:val="24"/>
          <w:szCs w:val="24"/>
        </w:rPr>
        <w:t>As this Report explains, the key element in the post-</w:t>
      </w:r>
      <w:r w:rsidR="00334759">
        <w:rPr>
          <w:rFonts w:ascii="Times New Roman" w:hAnsi="Times New Roman" w:cs="Times New Roman"/>
          <w:i/>
          <w:sz w:val="24"/>
          <w:szCs w:val="24"/>
        </w:rPr>
        <w:t>Adahi</w:t>
      </w:r>
      <w:r w:rsidR="00334759">
        <w:rPr>
          <w:rFonts w:ascii="Times New Roman" w:hAnsi="Times New Roman" w:cs="Times New Roman"/>
          <w:sz w:val="24"/>
          <w:szCs w:val="24"/>
        </w:rPr>
        <w:t xml:space="preserve"> shift in evaluation of Guantanamo detainee habeas petitions is the decline of the district courts’ independent fact-finding powers. </w:t>
      </w:r>
      <w:r>
        <w:rPr>
          <w:rFonts w:ascii="Times New Roman" w:hAnsi="Times New Roman" w:cs="Times New Roman"/>
          <w:sz w:val="24"/>
          <w:szCs w:val="24"/>
        </w:rPr>
        <w:t xml:space="preserve"> Part II of this Report outlines the Center’s methodology.  Part III presents a brief overview of the requirements set forth by the Supreme Court in </w:t>
      </w:r>
      <w:r>
        <w:rPr>
          <w:rFonts w:ascii="Times New Roman" w:hAnsi="Times New Roman" w:cs="Times New Roman"/>
          <w:i/>
          <w:sz w:val="24"/>
          <w:szCs w:val="24"/>
        </w:rPr>
        <w:t>Boumediene</w:t>
      </w:r>
      <w:r>
        <w:rPr>
          <w:rFonts w:ascii="Times New Roman" w:hAnsi="Times New Roman" w:cs="Times New Roman"/>
          <w:sz w:val="24"/>
          <w:szCs w:val="24"/>
        </w:rPr>
        <w:t>.  Finally, Part I</w:t>
      </w:r>
      <w:r w:rsidR="00B251F3">
        <w:rPr>
          <w:rFonts w:ascii="Times New Roman" w:hAnsi="Times New Roman" w:cs="Times New Roman"/>
          <w:sz w:val="24"/>
          <w:szCs w:val="24"/>
        </w:rPr>
        <w:t xml:space="preserve">V analyzes common government factual allegations in habeas cases, noting how district courts accorded more deference to government allegations after </w:t>
      </w:r>
      <w:r w:rsidR="00B251F3">
        <w:rPr>
          <w:rFonts w:ascii="Times New Roman" w:hAnsi="Times New Roman" w:cs="Times New Roman"/>
          <w:i/>
          <w:sz w:val="24"/>
          <w:szCs w:val="24"/>
        </w:rPr>
        <w:t>Al-Adahi</w:t>
      </w:r>
      <w:r w:rsidR="00B251F3">
        <w:rPr>
          <w:rFonts w:ascii="Times New Roman" w:hAnsi="Times New Roman" w:cs="Times New Roman"/>
          <w:sz w:val="24"/>
          <w:szCs w:val="24"/>
        </w:rPr>
        <w:t>.</w:t>
      </w:r>
    </w:p>
    <w:p w:rsidR="00D10AA2" w:rsidRPr="004279C5" w:rsidRDefault="00D10AA2" w:rsidP="00D10AA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 </w:t>
      </w:r>
      <w:r>
        <w:rPr>
          <w:rFonts w:ascii="Times New Roman" w:hAnsi="Times New Roman" w:cs="Times New Roman"/>
          <w:b/>
          <w:sz w:val="24"/>
          <w:szCs w:val="24"/>
        </w:rPr>
        <w:tab/>
        <w:t>Methodology</w:t>
      </w:r>
    </w:p>
    <w:p w:rsidR="005E0748" w:rsidRPr="005E0748" w:rsidRDefault="005E0748" w:rsidP="005E0748">
      <w:pPr>
        <w:spacing w:after="240" w:line="240" w:lineRule="auto"/>
        <w:ind w:firstLine="720"/>
        <w:jc w:val="both"/>
        <w:rPr>
          <w:rFonts w:ascii="Times New Roman" w:hAnsi="Times New Roman" w:cs="Times New Roman"/>
          <w:sz w:val="24"/>
          <w:szCs w:val="24"/>
        </w:rPr>
      </w:pPr>
      <w:r w:rsidRPr="005E0748">
        <w:rPr>
          <w:rFonts w:ascii="Times New Roman" w:hAnsi="Times New Roman" w:cs="Times New Roman"/>
          <w:sz w:val="24"/>
          <w:szCs w:val="24"/>
        </w:rPr>
        <w:t>This Report, the first in a series evaluating the factual allegations in each habeas corpus opinion, relies on the published district court opinions for forty-six detainees.</w:t>
      </w:r>
      <w:bookmarkStart w:id="1" w:name="137061ca5e196e64__ftnref1"/>
      <w:r>
        <w:rPr>
          <w:rStyle w:val="FootnoteReference"/>
          <w:rFonts w:ascii="Times New Roman" w:hAnsi="Times New Roman" w:cs="Times New Roman"/>
          <w:sz w:val="24"/>
          <w:szCs w:val="24"/>
        </w:rPr>
        <w:footnoteReference w:id="5"/>
      </w:r>
      <w:bookmarkEnd w:id="1"/>
      <w:r w:rsidRPr="005E0748">
        <w:rPr>
          <w:rFonts w:ascii="Times New Roman" w:hAnsi="Times New Roman" w:cs="Times New Roman"/>
          <w:sz w:val="24"/>
          <w:szCs w:val="24"/>
        </w:rPr>
        <w:t>  The Fellows for the Seton Hall Law Center for Policy and Research extracted recurring factual assertions raised by both the government and the petitioners.</w:t>
      </w:r>
      <w:bookmarkStart w:id="2" w:name="137061ca5e196e64__ftnref2"/>
      <w:r>
        <w:rPr>
          <w:rStyle w:val="FootnoteReference"/>
          <w:rFonts w:ascii="Times New Roman" w:hAnsi="Times New Roman" w:cs="Times New Roman"/>
          <w:sz w:val="24"/>
          <w:szCs w:val="24"/>
        </w:rPr>
        <w:footnoteReference w:id="6"/>
      </w:r>
      <w:bookmarkEnd w:id="2"/>
      <w:r w:rsidRPr="005E0748">
        <w:rPr>
          <w:rFonts w:ascii="Times New Roman" w:hAnsi="Times New Roman" w:cs="Times New Roman"/>
          <w:sz w:val="24"/>
          <w:szCs w:val="24"/>
        </w:rPr>
        <w:t>  Then each factual allegation was classified as to whether the district court accepted, rejected</w:t>
      </w:r>
      <w:r>
        <w:rPr>
          <w:rFonts w:ascii="Times New Roman" w:hAnsi="Times New Roman" w:cs="Times New Roman"/>
          <w:sz w:val="24"/>
          <w:szCs w:val="24"/>
        </w:rPr>
        <w:t>,</w:t>
      </w:r>
      <w:r w:rsidRPr="005E0748">
        <w:rPr>
          <w:rFonts w:ascii="Times New Roman" w:hAnsi="Times New Roman" w:cs="Times New Roman"/>
          <w:sz w:val="24"/>
          <w:szCs w:val="24"/>
        </w:rPr>
        <w:t xml:space="preserve"> or was silent as to each allegation.  That data was compiled and analyzed to discover what</w:t>
      </w:r>
      <w:r w:rsidR="00453E77">
        <w:rPr>
          <w:rFonts w:ascii="Times New Roman" w:hAnsi="Times New Roman" w:cs="Times New Roman"/>
          <w:sz w:val="24"/>
          <w:szCs w:val="24"/>
        </w:rPr>
        <w:t xml:space="preserve"> patterns the data revealed.  </w:t>
      </w:r>
      <w:r w:rsidRPr="005E0748">
        <w:rPr>
          <w:rFonts w:ascii="Times New Roman" w:hAnsi="Times New Roman" w:cs="Times New Roman"/>
          <w:sz w:val="24"/>
          <w:szCs w:val="24"/>
        </w:rPr>
        <w:t>This Report focuses on what the research identified</w:t>
      </w:r>
      <w:r w:rsidR="00453E77">
        <w:rPr>
          <w:rFonts w:ascii="Times New Roman" w:hAnsi="Times New Roman" w:cs="Times New Roman"/>
          <w:sz w:val="24"/>
          <w:szCs w:val="24"/>
        </w:rPr>
        <w:t xml:space="preserve"> as </w:t>
      </w:r>
      <w:r w:rsidRPr="005E0748">
        <w:rPr>
          <w:rFonts w:ascii="Times New Roman" w:hAnsi="Times New Roman" w:cs="Times New Roman"/>
          <w:sz w:val="24"/>
          <w:szCs w:val="24"/>
        </w:rPr>
        <w:t xml:space="preserve">the most significant factual allegations appearing in court </w:t>
      </w:r>
      <w:r w:rsidRPr="005E0748">
        <w:rPr>
          <w:rFonts w:ascii="Times New Roman" w:hAnsi="Times New Roman" w:cs="Times New Roman"/>
          <w:sz w:val="24"/>
          <w:szCs w:val="24"/>
        </w:rPr>
        <w:lastRenderedPageBreak/>
        <w:t xml:space="preserve">opinions.  These allegations include whether a detainee: committed a hostile act; stayed in a guest house; attended a military training camp; </w:t>
      </w:r>
      <w:r w:rsidR="00453E77">
        <w:rPr>
          <w:rFonts w:ascii="Times New Roman" w:hAnsi="Times New Roman" w:cs="Times New Roman"/>
          <w:sz w:val="24"/>
          <w:szCs w:val="24"/>
        </w:rPr>
        <w:t>and took a suspect travel route.</w:t>
      </w:r>
      <w:r w:rsidRPr="005E0748">
        <w:rPr>
          <w:rFonts w:ascii="Times New Roman" w:hAnsi="Times New Roman" w:cs="Times New Roman"/>
          <w:sz w:val="24"/>
          <w:szCs w:val="24"/>
        </w:rPr>
        <w:t xml:space="preserve"> </w:t>
      </w:r>
      <w:r w:rsidR="00453E77">
        <w:rPr>
          <w:rFonts w:ascii="Times New Roman" w:hAnsi="Times New Roman" w:cs="Times New Roman"/>
          <w:sz w:val="24"/>
          <w:szCs w:val="24"/>
        </w:rPr>
        <w:t xml:space="preserve"> </w:t>
      </w:r>
      <w:r w:rsidRPr="005E0748">
        <w:rPr>
          <w:rFonts w:ascii="Times New Roman" w:hAnsi="Times New Roman" w:cs="Times New Roman"/>
          <w:sz w:val="24"/>
          <w:szCs w:val="24"/>
        </w:rPr>
        <w:t>This Report also considers whether intelligence or interrogation reports were mentioned in the opinion. </w:t>
      </w:r>
    </w:p>
    <w:p w:rsidR="00EF65E6" w:rsidRPr="00D10AA2" w:rsidRDefault="005E0748" w:rsidP="00453E77">
      <w:pPr>
        <w:spacing w:after="240" w:line="240" w:lineRule="auto"/>
        <w:ind w:firstLine="720"/>
        <w:jc w:val="both"/>
        <w:rPr>
          <w:rFonts w:ascii="Times New Roman" w:hAnsi="Times New Roman" w:cs="Times New Roman"/>
          <w:sz w:val="24"/>
          <w:szCs w:val="24"/>
        </w:rPr>
      </w:pPr>
      <w:r w:rsidRPr="005E0748">
        <w:rPr>
          <w:rFonts w:ascii="Times New Roman" w:hAnsi="Times New Roman" w:cs="Times New Roman"/>
          <w:sz w:val="24"/>
          <w:szCs w:val="24"/>
        </w:rPr>
        <w:t>Through a series of objective queries, this Report thus reveals the actual standard which has emerged for determining who is an enemy combatant, and, consequently, who may justifiably remain in detention.</w:t>
      </w:r>
      <w:r w:rsidR="00D10AA2">
        <w:rPr>
          <w:rFonts w:ascii="Times New Roman" w:hAnsi="Times New Roman" w:cs="Times New Roman"/>
          <w:sz w:val="24"/>
          <w:szCs w:val="24"/>
        </w:rPr>
        <w:t xml:space="preserve"> </w:t>
      </w:r>
    </w:p>
    <w:p w:rsidR="006760A3" w:rsidRPr="009151C9" w:rsidRDefault="009F0DC3" w:rsidP="004A5E53">
      <w:pPr>
        <w:spacing w:after="240" w:line="240" w:lineRule="auto"/>
        <w:jc w:val="both"/>
        <w:rPr>
          <w:rFonts w:ascii="Times New Roman" w:hAnsi="Times New Roman" w:cs="Times New Roman"/>
          <w:b/>
          <w:sz w:val="24"/>
          <w:szCs w:val="24"/>
        </w:rPr>
      </w:pPr>
      <w:r w:rsidRPr="004A5E53">
        <w:rPr>
          <w:rFonts w:ascii="Times New Roman" w:hAnsi="Times New Roman" w:cs="Times New Roman"/>
          <w:b/>
          <w:sz w:val="24"/>
          <w:szCs w:val="24"/>
        </w:rPr>
        <w:t>III.</w:t>
      </w:r>
      <w:r w:rsidRPr="004A5E53">
        <w:rPr>
          <w:rFonts w:ascii="Times New Roman" w:hAnsi="Times New Roman" w:cs="Times New Roman"/>
          <w:b/>
          <w:sz w:val="24"/>
          <w:szCs w:val="24"/>
        </w:rPr>
        <w:tab/>
      </w:r>
      <w:r w:rsidR="009151C9">
        <w:rPr>
          <w:rFonts w:ascii="Times New Roman" w:hAnsi="Times New Roman" w:cs="Times New Roman"/>
          <w:b/>
          <w:sz w:val="24"/>
          <w:szCs w:val="24"/>
        </w:rPr>
        <w:t xml:space="preserve">The Supreme Court’s Initial Requirements in </w:t>
      </w:r>
      <w:r w:rsidR="003D2FCD" w:rsidRPr="004A5E53">
        <w:rPr>
          <w:rFonts w:ascii="Times New Roman" w:hAnsi="Times New Roman" w:cs="Times New Roman"/>
          <w:b/>
          <w:i/>
          <w:sz w:val="24"/>
          <w:szCs w:val="24"/>
        </w:rPr>
        <w:t>Boumediene</w:t>
      </w:r>
    </w:p>
    <w:p w:rsidR="00825A71" w:rsidRPr="004A5E53" w:rsidRDefault="00825A71" w:rsidP="004A5E53">
      <w:pPr>
        <w:spacing w:after="240" w:line="240" w:lineRule="auto"/>
        <w:ind w:firstLine="720"/>
        <w:jc w:val="both"/>
        <w:rPr>
          <w:rFonts w:ascii="Times New Roman" w:hAnsi="Times New Roman" w:cs="Times New Roman"/>
          <w:sz w:val="24"/>
          <w:szCs w:val="24"/>
        </w:rPr>
      </w:pPr>
      <w:r w:rsidRPr="004A5E53">
        <w:rPr>
          <w:rFonts w:ascii="Times New Roman" w:hAnsi="Times New Roman" w:cs="Times New Roman"/>
          <w:sz w:val="24"/>
          <w:szCs w:val="24"/>
        </w:rPr>
        <w:t xml:space="preserve">Before the Supreme Court decided </w:t>
      </w:r>
      <w:r w:rsidRPr="004A5E53">
        <w:rPr>
          <w:rFonts w:ascii="Times New Roman" w:hAnsi="Times New Roman" w:cs="Times New Roman"/>
          <w:i/>
          <w:sz w:val="24"/>
          <w:szCs w:val="24"/>
        </w:rPr>
        <w:t>Boumediene v. Bush</w:t>
      </w:r>
      <w:r w:rsidRPr="004A5E53">
        <w:rPr>
          <w:rFonts w:ascii="Times New Roman" w:hAnsi="Times New Roman" w:cs="Times New Roman"/>
          <w:sz w:val="24"/>
          <w:szCs w:val="24"/>
        </w:rPr>
        <w:t>,</w:t>
      </w:r>
      <w:r w:rsidR="00860829" w:rsidRPr="004A5E53">
        <w:rPr>
          <w:rStyle w:val="FootnoteReference"/>
          <w:rFonts w:ascii="Times New Roman" w:hAnsi="Times New Roman" w:cs="Times New Roman"/>
          <w:sz w:val="24"/>
          <w:szCs w:val="24"/>
        </w:rPr>
        <w:footnoteReference w:id="7"/>
      </w:r>
      <w:r w:rsidRPr="004A5E53">
        <w:rPr>
          <w:rFonts w:ascii="Times New Roman" w:hAnsi="Times New Roman" w:cs="Times New Roman"/>
          <w:sz w:val="24"/>
          <w:szCs w:val="24"/>
        </w:rPr>
        <w:t xml:space="preserve"> the Department of Defense </w:t>
      </w:r>
      <w:r w:rsidR="006174E8" w:rsidRPr="004A5E53">
        <w:rPr>
          <w:rFonts w:ascii="Times New Roman" w:hAnsi="Times New Roman" w:cs="Times New Roman"/>
          <w:sz w:val="24"/>
          <w:szCs w:val="24"/>
        </w:rPr>
        <w:t xml:space="preserve">(DOD) </w:t>
      </w:r>
      <w:r w:rsidRPr="004A5E53">
        <w:rPr>
          <w:rFonts w:ascii="Times New Roman" w:hAnsi="Times New Roman" w:cs="Times New Roman"/>
          <w:sz w:val="24"/>
          <w:szCs w:val="24"/>
        </w:rPr>
        <w:t xml:space="preserve">established the Combatant Status Review Tribunals (CSRTs) as </w:t>
      </w:r>
      <w:r w:rsidR="004E5B11">
        <w:rPr>
          <w:rFonts w:ascii="Times New Roman" w:hAnsi="Times New Roman" w:cs="Times New Roman"/>
          <w:sz w:val="24"/>
          <w:szCs w:val="24"/>
        </w:rPr>
        <w:t>the</w:t>
      </w:r>
      <w:r w:rsidRPr="004A5E53">
        <w:rPr>
          <w:rFonts w:ascii="Times New Roman" w:hAnsi="Times New Roman" w:cs="Times New Roman"/>
          <w:sz w:val="24"/>
          <w:szCs w:val="24"/>
        </w:rPr>
        <w:t xml:space="preserve"> forum for detainees to contest their clas</w:t>
      </w:r>
      <w:r w:rsidR="006174E8" w:rsidRPr="004A5E53">
        <w:rPr>
          <w:rFonts w:ascii="Times New Roman" w:hAnsi="Times New Roman" w:cs="Times New Roman"/>
          <w:sz w:val="24"/>
          <w:szCs w:val="24"/>
        </w:rPr>
        <w:t>sification as “enemy combatants</w:t>
      </w:r>
      <w:r w:rsidRPr="004A5E53">
        <w:rPr>
          <w:rFonts w:ascii="Times New Roman" w:hAnsi="Times New Roman" w:cs="Times New Roman"/>
          <w:sz w:val="24"/>
          <w:szCs w:val="24"/>
        </w:rPr>
        <w:t>.</w:t>
      </w:r>
      <w:r w:rsidR="006174E8" w:rsidRPr="004A5E53">
        <w:rPr>
          <w:rFonts w:ascii="Times New Roman" w:hAnsi="Times New Roman" w:cs="Times New Roman"/>
          <w:sz w:val="24"/>
          <w:szCs w:val="24"/>
        </w:rPr>
        <w:t>”</w:t>
      </w:r>
      <w:r w:rsidR="00860829" w:rsidRPr="004A5E53">
        <w:rPr>
          <w:rStyle w:val="FootnoteReference"/>
          <w:rFonts w:ascii="Times New Roman" w:hAnsi="Times New Roman" w:cs="Times New Roman"/>
          <w:sz w:val="24"/>
          <w:szCs w:val="24"/>
        </w:rPr>
        <w:footnoteReference w:id="8"/>
      </w:r>
      <w:r w:rsidRPr="004A5E53">
        <w:rPr>
          <w:rFonts w:ascii="Times New Roman" w:hAnsi="Times New Roman" w:cs="Times New Roman"/>
          <w:sz w:val="24"/>
          <w:szCs w:val="24"/>
        </w:rPr>
        <w:t xml:space="preserve"> </w:t>
      </w:r>
      <w:r w:rsidR="008569A6">
        <w:rPr>
          <w:rFonts w:ascii="Times New Roman" w:hAnsi="Times New Roman" w:cs="Times New Roman"/>
          <w:sz w:val="24"/>
          <w:szCs w:val="24"/>
        </w:rPr>
        <w:t xml:space="preserve"> </w:t>
      </w:r>
      <w:r w:rsidRPr="004A5E53">
        <w:rPr>
          <w:rFonts w:ascii="Times New Roman" w:hAnsi="Times New Roman" w:cs="Times New Roman"/>
          <w:sz w:val="24"/>
          <w:szCs w:val="24"/>
        </w:rPr>
        <w:t xml:space="preserve">In 2005, Congress passed the Detainee Treatment Act (DTA) which stripped the courts of their jurisdiction to hear </w:t>
      </w:r>
      <w:r w:rsidR="00E1711C" w:rsidRPr="004A5E53">
        <w:rPr>
          <w:rFonts w:ascii="Times New Roman" w:hAnsi="Times New Roman" w:cs="Times New Roman"/>
          <w:sz w:val="24"/>
          <w:szCs w:val="24"/>
        </w:rPr>
        <w:t xml:space="preserve">habeas </w:t>
      </w:r>
      <w:r w:rsidRPr="004A5E53">
        <w:rPr>
          <w:rFonts w:ascii="Times New Roman" w:hAnsi="Times New Roman" w:cs="Times New Roman"/>
          <w:sz w:val="24"/>
          <w:szCs w:val="24"/>
        </w:rPr>
        <w:t>petitions</w:t>
      </w:r>
      <w:r w:rsidR="00E1711C" w:rsidRPr="004A5E53">
        <w:rPr>
          <w:rFonts w:ascii="Times New Roman" w:hAnsi="Times New Roman" w:cs="Times New Roman"/>
          <w:sz w:val="24"/>
          <w:szCs w:val="24"/>
        </w:rPr>
        <w:t xml:space="preserve"> from Guantanamo detainees</w:t>
      </w:r>
      <w:r w:rsidRPr="004A5E53">
        <w:rPr>
          <w:rFonts w:ascii="Times New Roman" w:hAnsi="Times New Roman" w:cs="Times New Roman"/>
          <w:sz w:val="24"/>
          <w:szCs w:val="24"/>
        </w:rPr>
        <w:t xml:space="preserve">, </w:t>
      </w:r>
      <w:r w:rsidR="004E5B11">
        <w:rPr>
          <w:rFonts w:ascii="Times New Roman" w:hAnsi="Times New Roman" w:cs="Times New Roman"/>
          <w:sz w:val="24"/>
          <w:szCs w:val="24"/>
        </w:rPr>
        <w:t>approved</w:t>
      </w:r>
      <w:r w:rsidRPr="004A5E53">
        <w:rPr>
          <w:rFonts w:ascii="Times New Roman" w:hAnsi="Times New Roman" w:cs="Times New Roman"/>
          <w:sz w:val="24"/>
          <w:szCs w:val="24"/>
        </w:rPr>
        <w:t xml:space="preserve"> the CSRTs, and vested exclusive review of CSRT decisions in the </w:t>
      </w:r>
      <w:r w:rsidR="00F92837">
        <w:rPr>
          <w:rFonts w:ascii="Times New Roman" w:hAnsi="Times New Roman" w:cs="Times New Roman"/>
          <w:sz w:val="24"/>
          <w:szCs w:val="24"/>
        </w:rPr>
        <w:t>U</w:t>
      </w:r>
      <w:r w:rsidR="004E5B11">
        <w:rPr>
          <w:rFonts w:ascii="Times New Roman" w:hAnsi="Times New Roman" w:cs="Times New Roman"/>
          <w:sz w:val="24"/>
          <w:szCs w:val="24"/>
        </w:rPr>
        <w:t>nited States</w:t>
      </w:r>
      <w:r w:rsidRPr="004A5E53">
        <w:rPr>
          <w:rFonts w:ascii="Times New Roman" w:hAnsi="Times New Roman" w:cs="Times New Roman"/>
          <w:sz w:val="24"/>
          <w:szCs w:val="24"/>
        </w:rPr>
        <w:t xml:space="preserve"> Court of Appeals</w:t>
      </w:r>
      <w:r w:rsidR="00F92837">
        <w:rPr>
          <w:rFonts w:ascii="Times New Roman" w:hAnsi="Times New Roman" w:cs="Times New Roman"/>
          <w:sz w:val="24"/>
          <w:szCs w:val="24"/>
        </w:rPr>
        <w:t xml:space="preserve"> for the D.C. Circuit</w:t>
      </w:r>
      <w:r w:rsidRPr="004A5E53">
        <w:rPr>
          <w:rFonts w:ascii="Times New Roman" w:hAnsi="Times New Roman" w:cs="Times New Roman"/>
          <w:sz w:val="24"/>
          <w:szCs w:val="24"/>
        </w:rPr>
        <w:t>.</w:t>
      </w:r>
      <w:r w:rsidR="00860829" w:rsidRPr="004A5E53">
        <w:rPr>
          <w:rStyle w:val="FootnoteReference"/>
          <w:rFonts w:ascii="Times New Roman" w:hAnsi="Times New Roman" w:cs="Times New Roman"/>
          <w:sz w:val="24"/>
          <w:szCs w:val="24"/>
        </w:rPr>
        <w:footnoteReference w:id="9"/>
      </w:r>
      <w:r w:rsidRPr="004A5E53">
        <w:rPr>
          <w:rFonts w:ascii="Times New Roman" w:hAnsi="Times New Roman" w:cs="Times New Roman"/>
          <w:sz w:val="24"/>
          <w:szCs w:val="24"/>
        </w:rPr>
        <w:t xml:space="preserve"> </w:t>
      </w:r>
      <w:r w:rsidR="008569A6">
        <w:rPr>
          <w:rFonts w:ascii="Times New Roman" w:hAnsi="Times New Roman" w:cs="Times New Roman"/>
          <w:sz w:val="24"/>
          <w:szCs w:val="24"/>
        </w:rPr>
        <w:t xml:space="preserve"> </w:t>
      </w:r>
      <w:r w:rsidRPr="004A5E53">
        <w:rPr>
          <w:rFonts w:ascii="Times New Roman" w:hAnsi="Times New Roman" w:cs="Times New Roman"/>
          <w:sz w:val="24"/>
          <w:szCs w:val="24"/>
        </w:rPr>
        <w:t xml:space="preserve">A year later, Congress passed the </w:t>
      </w:r>
      <w:r w:rsidR="007F6755" w:rsidRPr="004A5E53">
        <w:rPr>
          <w:rFonts w:ascii="Times New Roman" w:hAnsi="Times New Roman" w:cs="Times New Roman"/>
          <w:sz w:val="24"/>
          <w:szCs w:val="24"/>
        </w:rPr>
        <w:t xml:space="preserve">Military Commissions Act </w:t>
      </w:r>
      <w:r w:rsidR="00334759">
        <w:rPr>
          <w:rFonts w:ascii="Times New Roman" w:hAnsi="Times New Roman" w:cs="Times New Roman"/>
          <w:sz w:val="24"/>
          <w:szCs w:val="24"/>
        </w:rPr>
        <w:t xml:space="preserve">of 2006 </w:t>
      </w:r>
      <w:r w:rsidR="007F6755" w:rsidRPr="004A5E53">
        <w:rPr>
          <w:rFonts w:ascii="Times New Roman" w:hAnsi="Times New Roman" w:cs="Times New Roman"/>
          <w:sz w:val="24"/>
          <w:szCs w:val="24"/>
        </w:rPr>
        <w:t>(MCA)</w:t>
      </w:r>
      <w:r w:rsidRPr="004A5E53">
        <w:rPr>
          <w:rFonts w:ascii="Times New Roman" w:hAnsi="Times New Roman" w:cs="Times New Roman"/>
          <w:sz w:val="24"/>
          <w:szCs w:val="24"/>
        </w:rPr>
        <w:t xml:space="preserve">, amending the DTA </w:t>
      </w:r>
      <w:r w:rsidR="004E5B11">
        <w:rPr>
          <w:rFonts w:ascii="Times New Roman" w:hAnsi="Times New Roman" w:cs="Times New Roman"/>
          <w:sz w:val="24"/>
          <w:szCs w:val="24"/>
        </w:rPr>
        <w:t>to</w:t>
      </w:r>
      <w:r w:rsidRPr="004A5E53">
        <w:rPr>
          <w:rFonts w:ascii="Times New Roman" w:hAnsi="Times New Roman" w:cs="Times New Roman"/>
          <w:sz w:val="24"/>
          <w:szCs w:val="24"/>
        </w:rPr>
        <w:t xml:space="preserve"> strip the courts of jurisdiction in any action against the United States relating to any aspect of detention, effective immediately and applicable to all c</w:t>
      </w:r>
      <w:r w:rsidR="00E35A7B" w:rsidRPr="004A5E53">
        <w:rPr>
          <w:rFonts w:ascii="Times New Roman" w:hAnsi="Times New Roman" w:cs="Times New Roman"/>
          <w:sz w:val="24"/>
          <w:szCs w:val="24"/>
        </w:rPr>
        <w:t>ases pending without exception.</w:t>
      </w:r>
      <w:r w:rsidR="00E35A7B" w:rsidRPr="004A5E53">
        <w:rPr>
          <w:rStyle w:val="FootnoteReference"/>
          <w:rFonts w:ascii="Times New Roman" w:hAnsi="Times New Roman" w:cs="Times New Roman"/>
          <w:sz w:val="24"/>
          <w:szCs w:val="24"/>
        </w:rPr>
        <w:footnoteReference w:id="10"/>
      </w:r>
    </w:p>
    <w:p w:rsidR="00E26F60" w:rsidRDefault="00E62634" w:rsidP="004A5E53">
      <w:pPr>
        <w:spacing w:after="240" w:line="240" w:lineRule="auto"/>
        <w:ind w:firstLine="720"/>
        <w:jc w:val="both"/>
        <w:rPr>
          <w:rFonts w:ascii="Times New Roman" w:hAnsi="Times New Roman" w:cs="Times New Roman"/>
          <w:sz w:val="24"/>
          <w:szCs w:val="24"/>
        </w:rPr>
      </w:pPr>
      <w:r w:rsidRPr="004A5E53">
        <w:rPr>
          <w:rFonts w:ascii="Times New Roman" w:hAnsi="Times New Roman" w:cs="Times New Roman"/>
          <w:sz w:val="24"/>
          <w:szCs w:val="24"/>
        </w:rPr>
        <w:t xml:space="preserve">In </w:t>
      </w:r>
      <w:r w:rsidRPr="004A5E53">
        <w:rPr>
          <w:rFonts w:ascii="Times New Roman" w:hAnsi="Times New Roman" w:cs="Times New Roman"/>
          <w:i/>
          <w:sz w:val="24"/>
          <w:szCs w:val="24"/>
        </w:rPr>
        <w:t>Boumediene v. Bush</w:t>
      </w:r>
      <w:r w:rsidRPr="004A5E53">
        <w:rPr>
          <w:rFonts w:ascii="Times New Roman" w:hAnsi="Times New Roman" w:cs="Times New Roman"/>
          <w:sz w:val="24"/>
          <w:szCs w:val="24"/>
        </w:rPr>
        <w:t>,</w:t>
      </w:r>
      <w:r w:rsidR="00F43820" w:rsidRPr="004A5E53">
        <w:rPr>
          <w:rStyle w:val="FootnoteReference"/>
          <w:rFonts w:ascii="Times New Roman" w:hAnsi="Times New Roman" w:cs="Times New Roman"/>
          <w:sz w:val="24"/>
          <w:szCs w:val="24"/>
        </w:rPr>
        <w:footnoteReference w:id="11"/>
      </w:r>
      <w:r w:rsidRPr="004A5E53">
        <w:rPr>
          <w:rFonts w:ascii="Times New Roman" w:hAnsi="Times New Roman" w:cs="Times New Roman"/>
          <w:sz w:val="24"/>
          <w:szCs w:val="24"/>
        </w:rPr>
        <w:t xml:space="preserve"> the U.S. Supreme Court held </w:t>
      </w:r>
      <w:r w:rsidR="00F92837">
        <w:rPr>
          <w:rFonts w:ascii="Times New Roman" w:hAnsi="Times New Roman" w:cs="Times New Roman"/>
          <w:sz w:val="24"/>
          <w:szCs w:val="24"/>
        </w:rPr>
        <w:t>that</w:t>
      </w:r>
      <w:r w:rsidRPr="004A5E53">
        <w:rPr>
          <w:rFonts w:ascii="Times New Roman" w:hAnsi="Times New Roman" w:cs="Times New Roman"/>
          <w:sz w:val="24"/>
          <w:szCs w:val="24"/>
        </w:rPr>
        <w:t xml:space="preserve"> detainees in Guantanamo Bay </w:t>
      </w:r>
      <w:r w:rsidR="00D04AD1" w:rsidRPr="004A5E53">
        <w:rPr>
          <w:rFonts w:ascii="Times New Roman" w:hAnsi="Times New Roman" w:cs="Times New Roman"/>
          <w:sz w:val="24"/>
          <w:szCs w:val="24"/>
        </w:rPr>
        <w:t>h</w:t>
      </w:r>
      <w:r w:rsidR="00334759">
        <w:rPr>
          <w:rFonts w:ascii="Times New Roman" w:hAnsi="Times New Roman" w:cs="Times New Roman"/>
          <w:sz w:val="24"/>
          <w:szCs w:val="24"/>
        </w:rPr>
        <w:t>ave</w:t>
      </w:r>
      <w:r w:rsidRPr="004A5E53">
        <w:rPr>
          <w:rFonts w:ascii="Times New Roman" w:hAnsi="Times New Roman" w:cs="Times New Roman"/>
          <w:sz w:val="24"/>
          <w:szCs w:val="24"/>
        </w:rPr>
        <w:t xml:space="preserve"> </w:t>
      </w:r>
      <w:r w:rsidR="00334759">
        <w:rPr>
          <w:rFonts w:ascii="Times New Roman" w:hAnsi="Times New Roman" w:cs="Times New Roman"/>
          <w:sz w:val="24"/>
          <w:szCs w:val="24"/>
        </w:rPr>
        <w:t>the</w:t>
      </w:r>
      <w:r w:rsidRPr="004A5E53">
        <w:rPr>
          <w:rFonts w:ascii="Times New Roman" w:hAnsi="Times New Roman" w:cs="Times New Roman"/>
          <w:sz w:val="24"/>
          <w:szCs w:val="24"/>
        </w:rPr>
        <w:t xml:space="preserve"> right under the U.S. Constitution to file petitions for the writ of habeas corpus.</w:t>
      </w:r>
      <w:r w:rsidRPr="004A5E53">
        <w:rPr>
          <w:rStyle w:val="FootnoteReference"/>
          <w:rFonts w:ascii="Times New Roman" w:hAnsi="Times New Roman" w:cs="Times New Roman"/>
          <w:sz w:val="24"/>
          <w:szCs w:val="24"/>
        </w:rPr>
        <w:footnoteReference w:id="12"/>
      </w:r>
      <w:r w:rsidRPr="004A5E53">
        <w:rPr>
          <w:rFonts w:ascii="Times New Roman" w:hAnsi="Times New Roman" w:cs="Times New Roman"/>
          <w:sz w:val="24"/>
          <w:szCs w:val="24"/>
        </w:rPr>
        <w:t xml:space="preserve"> </w:t>
      </w:r>
      <w:r w:rsidR="008569A6">
        <w:rPr>
          <w:rFonts w:ascii="Times New Roman" w:hAnsi="Times New Roman" w:cs="Times New Roman"/>
          <w:sz w:val="24"/>
          <w:szCs w:val="24"/>
        </w:rPr>
        <w:t xml:space="preserve"> </w:t>
      </w:r>
      <w:r w:rsidR="006D4EDA">
        <w:rPr>
          <w:rFonts w:ascii="Times New Roman" w:hAnsi="Times New Roman" w:cs="Times New Roman"/>
          <w:sz w:val="24"/>
          <w:szCs w:val="24"/>
        </w:rPr>
        <w:t>The</w:t>
      </w:r>
      <w:r w:rsidR="00CD78C6" w:rsidRPr="004A5E53">
        <w:rPr>
          <w:rFonts w:ascii="Times New Roman" w:hAnsi="Times New Roman" w:cs="Times New Roman"/>
          <w:sz w:val="24"/>
          <w:szCs w:val="24"/>
        </w:rPr>
        <w:t xml:space="preserve"> </w:t>
      </w:r>
      <w:r w:rsidR="007C3672" w:rsidRPr="004A5E53">
        <w:rPr>
          <w:rFonts w:ascii="Times New Roman" w:hAnsi="Times New Roman" w:cs="Times New Roman"/>
          <w:sz w:val="24"/>
          <w:szCs w:val="24"/>
        </w:rPr>
        <w:t>Court</w:t>
      </w:r>
      <w:r w:rsidR="00774E3B" w:rsidRPr="004A5E53">
        <w:rPr>
          <w:rFonts w:ascii="Times New Roman" w:hAnsi="Times New Roman" w:cs="Times New Roman"/>
          <w:sz w:val="24"/>
          <w:szCs w:val="24"/>
        </w:rPr>
        <w:t xml:space="preserve"> </w:t>
      </w:r>
      <w:r w:rsidR="00CD78C6" w:rsidRPr="004A5E53">
        <w:rPr>
          <w:rFonts w:ascii="Times New Roman" w:hAnsi="Times New Roman" w:cs="Times New Roman"/>
          <w:sz w:val="24"/>
          <w:szCs w:val="24"/>
        </w:rPr>
        <w:t xml:space="preserve">was </w:t>
      </w:r>
      <w:r w:rsidR="00512C18" w:rsidRPr="004A5E53">
        <w:rPr>
          <w:rFonts w:ascii="Times New Roman" w:hAnsi="Times New Roman" w:cs="Times New Roman"/>
          <w:sz w:val="24"/>
          <w:szCs w:val="24"/>
        </w:rPr>
        <w:t xml:space="preserve">then </w:t>
      </w:r>
      <w:r w:rsidR="00CD78C6" w:rsidRPr="004A5E53">
        <w:rPr>
          <w:rFonts w:ascii="Times New Roman" w:hAnsi="Times New Roman" w:cs="Times New Roman"/>
          <w:sz w:val="24"/>
          <w:szCs w:val="24"/>
        </w:rPr>
        <w:t xml:space="preserve">left with </w:t>
      </w:r>
      <w:r w:rsidR="004E5B11">
        <w:rPr>
          <w:rFonts w:ascii="Times New Roman" w:hAnsi="Times New Roman" w:cs="Times New Roman"/>
          <w:sz w:val="24"/>
          <w:szCs w:val="24"/>
        </w:rPr>
        <w:t>the</w:t>
      </w:r>
      <w:r w:rsidR="00CD78C6" w:rsidRPr="004A5E53">
        <w:rPr>
          <w:rFonts w:ascii="Times New Roman" w:hAnsi="Times New Roman" w:cs="Times New Roman"/>
          <w:sz w:val="24"/>
          <w:szCs w:val="24"/>
        </w:rPr>
        <w:t xml:space="preserve"> question</w:t>
      </w:r>
      <w:r w:rsidR="006D4EDA">
        <w:rPr>
          <w:rFonts w:ascii="Times New Roman" w:hAnsi="Times New Roman" w:cs="Times New Roman"/>
          <w:sz w:val="24"/>
          <w:szCs w:val="24"/>
        </w:rPr>
        <w:t xml:space="preserve"> of</w:t>
      </w:r>
      <w:r w:rsidR="00CD78C6" w:rsidRPr="004A5E53">
        <w:rPr>
          <w:rFonts w:ascii="Times New Roman" w:hAnsi="Times New Roman" w:cs="Times New Roman"/>
          <w:sz w:val="24"/>
          <w:szCs w:val="24"/>
        </w:rPr>
        <w:t xml:space="preserve"> </w:t>
      </w:r>
      <w:r w:rsidRPr="004A5E53">
        <w:rPr>
          <w:rFonts w:ascii="Times New Roman" w:hAnsi="Times New Roman" w:cs="Times New Roman"/>
          <w:sz w:val="24"/>
          <w:szCs w:val="24"/>
        </w:rPr>
        <w:t>whether the</w:t>
      </w:r>
      <w:r w:rsidR="00B006EB" w:rsidRPr="004A5E53">
        <w:rPr>
          <w:rFonts w:ascii="Times New Roman" w:hAnsi="Times New Roman" w:cs="Times New Roman"/>
          <w:sz w:val="24"/>
          <w:szCs w:val="24"/>
        </w:rPr>
        <w:t xml:space="preserve"> DTA</w:t>
      </w:r>
      <w:r w:rsidR="00825A71" w:rsidRPr="004A5E53">
        <w:rPr>
          <w:rFonts w:ascii="Times New Roman" w:hAnsi="Times New Roman" w:cs="Times New Roman"/>
          <w:sz w:val="24"/>
          <w:szCs w:val="24"/>
        </w:rPr>
        <w:t xml:space="preserve"> </w:t>
      </w:r>
      <w:r w:rsidR="00AD69C6" w:rsidRPr="004A5E53">
        <w:rPr>
          <w:rFonts w:ascii="Times New Roman" w:hAnsi="Times New Roman" w:cs="Times New Roman"/>
          <w:sz w:val="24"/>
          <w:szCs w:val="24"/>
        </w:rPr>
        <w:t xml:space="preserve">offered </w:t>
      </w:r>
      <w:r w:rsidR="004604CF" w:rsidRPr="004A5E53">
        <w:rPr>
          <w:rFonts w:ascii="Times New Roman" w:hAnsi="Times New Roman" w:cs="Times New Roman"/>
          <w:sz w:val="24"/>
          <w:szCs w:val="24"/>
        </w:rPr>
        <w:t xml:space="preserve">an adequate </w:t>
      </w:r>
      <w:r w:rsidR="00334759">
        <w:rPr>
          <w:rFonts w:ascii="Times New Roman" w:hAnsi="Times New Roman" w:cs="Times New Roman"/>
          <w:sz w:val="24"/>
          <w:szCs w:val="24"/>
        </w:rPr>
        <w:t xml:space="preserve">and effective </w:t>
      </w:r>
      <w:r w:rsidR="004604CF" w:rsidRPr="004A5E53">
        <w:rPr>
          <w:rFonts w:ascii="Times New Roman" w:hAnsi="Times New Roman" w:cs="Times New Roman"/>
          <w:sz w:val="24"/>
          <w:szCs w:val="24"/>
        </w:rPr>
        <w:t xml:space="preserve">substitute for </w:t>
      </w:r>
      <w:r w:rsidRPr="004A5E53">
        <w:rPr>
          <w:rFonts w:ascii="Times New Roman" w:hAnsi="Times New Roman" w:cs="Times New Roman"/>
          <w:sz w:val="24"/>
          <w:szCs w:val="24"/>
        </w:rPr>
        <w:t xml:space="preserve">habeas </w:t>
      </w:r>
      <w:r w:rsidR="00D276F3" w:rsidRPr="004A5E53">
        <w:rPr>
          <w:rFonts w:ascii="Times New Roman" w:hAnsi="Times New Roman" w:cs="Times New Roman"/>
          <w:sz w:val="24"/>
          <w:szCs w:val="24"/>
        </w:rPr>
        <w:t>corpus.</w:t>
      </w:r>
      <w:r w:rsidR="004918CD" w:rsidRPr="004A5E53">
        <w:rPr>
          <w:rStyle w:val="FootnoteReference"/>
          <w:rFonts w:ascii="Times New Roman" w:hAnsi="Times New Roman" w:cs="Times New Roman"/>
          <w:sz w:val="24"/>
          <w:szCs w:val="24"/>
        </w:rPr>
        <w:footnoteReference w:id="13"/>
      </w:r>
      <w:r w:rsidR="004E5B11">
        <w:rPr>
          <w:rFonts w:ascii="Times New Roman" w:hAnsi="Times New Roman" w:cs="Times New Roman"/>
          <w:sz w:val="24"/>
          <w:szCs w:val="24"/>
        </w:rPr>
        <w:t xml:space="preserve"> </w:t>
      </w:r>
      <w:r w:rsidR="007F6B33">
        <w:rPr>
          <w:rFonts w:ascii="Times New Roman" w:hAnsi="Times New Roman" w:cs="Times New Roman"/>
          <w:sz w:val="24"/>
          <w:szCs w:val="24"/>
        </w:rPr>
        <w:t xml:space="preserve"> </w:t>
      </w:r>
      <w:r w:rsidR="00A64DA7" w:rsidRPr="004A5E53">
        <w:rPr>
          <w:rFonts w:ascii="Times New Roman" w:hAnsi="Times New Roman" w:cs="Times New Roman"/>
          <w:sz w:val="24"/>
          <w:szCs w:val="24"/>
        </w:rPr>
        <w:t xml:space="preserve">Ultimately, the Supreme Court concluded the </w:t>
      </w:r>
      <w:r w:rsidR="005200B1" w:rsidRPr="004A5E53">
        <w:rPr>
          <w:rFonts w:ascii="Times New Roman" w:hAnsi="Times New Roman" w:cs="Times New Roman"/>
          <w:sz w:val="24"/>
          <w:szCs w:val="24"/>
        </w:rPr>
        <w:t>DTA</w:t>
      </w:r>
      <w:r w:rsidR="00A64DA7" w:rsidRPr="004A5E53">
        <w:rPr>
          <w:rFonts w:ascii="Times New Roman" w:hAnsi="Times New Roman" w:cs="Times New Roman"/>
          <w:sz w:val="24"/>
          <w:szCs w:val="24"/>
        </w:rPr>
        <w:t xml:space="preserve"> </w:t>
      </w:r>
      <w:r w:rsidR="00334759">
        <w:rPr>
          <w:rFonts w:ascii="Times New Roman" w:hAnsi="Times New Roman" w:cs="Times New Roman"/>
          <w:sz w:val="24"/>
          <w:szCs w:val="24"/>
        </w:rPr>
        <w:t>failed to provide an</w:t>
      </w:r>
      <w:r w:rsidR="00A64DA7" w:rsidRPr="004A5E53">
        <w:rPr>
          <w:rFonts w:ascii="Times New Roman" w:hAnsi="Times New Roman" w:cs="Times New Roman"/>
          <w:sz w:val="24"/>
          <w:szCs w:val="24"/>
        </w:rPr>
        <w:t xml:space="preserve"> adequate </w:t>
      </w:r>
      <w:r w:rsidR="00334759">
        <w:rPr>
          <w:rFonts w:ascii="Times New Roman" w:hAnsi="Times New Roman" w:cs="Times New Roman"/>
          <w:sz w:val="24"/>
          <w:szCs w:val="24"/>
        </w:rPr>
        <w:t xml:space="preserve">and effective </w:t>
      </w:r>
      <w:r w:rsidR="00A64DA7" w:rsidRPr="004A5E53">
        <w:rPr>
          <w:rFonts w:ascii="Times New Roman" w:hAnsi="Times New Roman" w:cs="Times New Roman"/>
          <w:sz w:val="24"/>
          <w:szCs w:val="24"/>
        </w:rPr>
        <w:t>substitute for habeas corpus because</w:t>
      </w:r>
      <w:r w:rsidR="001458AC" w:rsidRPr="004A5E53">
        <w:rPr>
          <w:rFonts w:ascii="Times New Roman" w:hAnsi="Times New Roman" w:cs="Times New Roman"/>
          <w:sz w:val="24"/>
          <w:szCs w:val="24"/>
        </w:rPr>
        <w:t xml:space="preserve"> </w:t>
      </w:r>
      <w:r w:rsidR="00ED6A3D" w:rsidRPr="004A5E53">
        <w:rPr>
          <w:rFonts w:ascii="Times New Roman" w:hAnsi="Times New Roman" w:cs="Times New Roman"/>
          <w:sz w:val="24"/>
          <w:szCs w:val="24"/>
        </w:rPr>
        <w:t xml:space="preserve">it </w:t>
      </w:r>
      <w:r w:rsidR="00CB4BDB" w:rsidRPr="004A5E53">
        <w:rPr>
          <w:rFonts w:ascii="Times New Roman" w:hAnsi="Times New Roman" w:cs="Times New Roman"/>
          <w:sz w:val="24"/>
          <w:szCs w:val="24"/>
        </w:rPr>
        <w:t xml:space="preserve">fostered flawed fact-finding in the initial CSRTs </w:t>
      </w:r>
      <w:r w:rsidR="00ED6A73" w:rsidRPr="004A5E53">
        <w:rPr>
          <w:rFonts w:ascii="Times New Roman" w:hAnsi="Times New Roman" w:cs="Times New Roman"/>
          <w:sz w:val="24"/>
          <w:szCs w:val="24"/>
        </w:rPr>
        <w:t xml:space="preserve">while restricting </w:t>
      </w:r>
      <w:r w:rsidR="00CB4BDB" w:rsidRPr="004A5E53">
        <w:rPr>
          <w:rFonts w:ascii="Times New Roman" w:hAnsi="Times New Roman" w:cs="Times New Roman"/>
          <w:sz w:val="24"/>
          <w:szCs w:val="24"/>
        </w:rPr>
        <w:t>review in the Court of Appeals.</w:t>
      </w:r>
      <w:r w:rsidR="004918CD" w:rsidRPr="004A5E53">
        <w:rPr>
          <w:rStyle w:val="FootnoteReference"/>
          <w:rFonts w:ascii="Times New Roman" w:hAnsi="Times New Roman" w:cs="Times New Roman"/>
          <w:sz w:val="24"/>
          <w:szCs w:val="24"/>
        </w:rPr>
        <w:footnoteReference w:id="14"/>
      </w:r>
    </w:p>
    <w:p w:rsidR="004E5B11" w:rsidRPr="004E5B11" w:rsidRDefault="006B7B5C" w:rsidP="004A5E53">
      <w:pPr>
        <w:spacing w:after="24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By rejecting the DTA’s substitute</w:t>
      </w:r>
      <w:r w:rsidR="00F75590">
        <w:rPr>
          <w:rFonts w:ascii="Times New Roman" w:hAnsi="Times New Roman" w:cs="Times New Roman"/>
          <w:sz w:val="24"/>
          <w:szCs w:val="24"/>
        </w:rPr>
        <w:t xml:space="preserve"> system, </w:t>
      </w:r>
      <w:r>
        <w:rPr>
          <w:rFonts w:ascii="Times New Roman" w:hAnsi="Times New Roman" w:cs="Times New Roman"/>
          <w:sz w:val="24"/>
          <w:szCs w:val="24"/>
        </w:rPr>
        <w:t>the Court in</w:t>
      </w:r>
      <w:r w:rsidR="004E5B11">
        <w:rPr>
          <w:rFonts w:ascii="Times New Roman" w:hAnsi="Times New Roman" w:cs="Times New Roman"/>
          <w:sz w:val="24"/>
          <w:szCs w:val="24"/>
        </w:rPr>
        <w:t xml:space="preserve"> </w:t>
      </w:r>
      <w:r w:rsidR="004E5B11">
        <w:rPr>
          <w:rFonts w:ascii="Times New Roman" w:hAnsi="Times New Roman" w:cs="Times New Roman"/>
          <w:i/>
          <w:sz w:val="24"/>
          <w:szCs w:val="24"/>
        </w:rPr>
        <w:t xml:space="preserve">Boumediene </w:t>
      </w:r>
      <w:r w:rsidR="004E5B11">
        <w:rPr>
          <w:rFonts w:ascii="Times New Roman" w:hAnsi="Times New Roman" w:cs="Times New Roman"/>
          <w:sz w:val="24"/>
          <w:szCs w:val="24"/>
        </w:rPr>
        <w:t>seemed to hold out promise that there would be meaningful review of Guantanamo detentions for any detainee filing a habeas petition.</w:t>
      </w:r>
      <w:r w:rsidR="007F6B33">
        <w:rPr>
          <w:rFonts w:ascii="Times New Roman" w:hAnsi="Times New Roman" w:cs="Times New Roman"/>
          <w:sz w:val="24"/>
          <w:szCs w:val="24"/>
        </w:rPr>
        <w:t xml:space="preserve">  </w:t>
      </w:r>
      <w:r w:rsidR="00A72017">
        <w:rPr>
          <w:rFonts w:ascii="Times New Roman" w:hAnsi="Times New Roman" w:cs="Times New Roman"/>
          <w:sz w:val="24"/>
          <w:szCs w:val="24"/>
        </w:rPr>
        <w:t>Importantly, the Supreme Court noted that “the writ must be effective” and that the judge</w:t>
      </w:r>
      <w:r w:rsidR="00A72017" w:rsidRPr="00A72017">
        <w:rPr>
          <w:rFonts w:ascii="Times New Roman" w:hAnsi="Times New Roman" w:cs="Times New Roman"/>
          <w:sz w:val="24"/>
          <w:szCs w:val="24"/>
        </w:rPr>
        <w:t xml:space="preserve"> </w:t>
      </w:r>
      <w:r w:rsidR="00A72017">
        <w:rPr>
          <w:rFonts w:ascii="Times New Roman" w:hAnsi="Times New Roman" w:cs="Times New Roman"/>
          <w:sz w:val="24"/>
          <w:szCs w:val="24"/>
        </w:rPr>
        <w:t>“</w:t>
      </w:r>
      <w:r w:rsidR="00A72017" w:rsidRPr="00A72017">
        <w:rPr>
          <w:rFonts w:ascii="Times New Roman" w:hAnsi="Times New Roman" w:cs="Times New Roman"/>
          <w:sz w:val="24"/>
          <w:szCs w:val="24"/>
        </w:rPr>
        <w:t xml:space="preserve">must have sufficient authority to conduct a </w:t>
      </w:r>
      <w:r w:rsidR="00A72017" w:rsidRPr="00A72017">
        <w:rPr>
          <w:rFonts w:ascii="Times New Roman" w:hAnsi="Times New Roman" w:cs="Times New Roman"/>
          <w:b/>
          <w:i/>
          <w:sz w:val="24"/>
          <w:szCs w:val="24"/>
        </w:rPr>
        <w:t>meaningful review</w:t>
      </w:r>
      <w:r w:rsidR="00A72017" w:rsidRPr="00A72017">
        <w:rPr>
          <w:rFonts w:ascii="Times New Roman" w:hAnsi="Times New Roman" w:cs="Times New Roman"/>
          <w:sz w:val="24"/>
          <w:szCs w:val="24"/>
        </w:rPr>
        <w:t xml:space="preserve"> </w:t>
      </w:r>
      <w:r w:rsidR="00A72017" w:rsidRPr="00A72017">
        <w:rPr>
          <w:rFonts w:ascii="Times New Roman" w:hAnsi="Times New Roman" w:cs="Times New Roman"/>
          <w:b/>
          <w:i/>
          <w:sz w:val="24"/>
          <w:szCs w:val="24"/>
        </w:rPr>
        <w:t>of both the cause for detention and the Executive's power to detain.</w:t>
      </w:r>
      <w:r w:rsidR="00A72017">
        <w:rPr>
          <w:rFonts w:ascii="Times New Roman" w:hAnsi="Times New Roman" w:cs="Times New Roman"/>
          <w:sz w:val="24"/>
          <w:szCs w:val="24"/>
        </w:rPr>
        <w:t>”</w:t>
      </w:r>
      <w:r w:rsidR="00A72017">
        <w:rPr>
          <w:rStyle w:val="FootnoteReference"/>
          <w:rFonts w:ascii="Times New Roman" w:hAnsi="Times New Roman" w:cs="Times New Roman"/>
          <w:sz w:val="24"/>
          <w:szCs w:val="24"/>
        </w:rPr>
        <w:footnoteReference w:id="15"/>
      </w:r>
      <w:r w:rsidR="00A72017">
        <w:rPr>
          <w:rFonts w:ascii="Times New Roman" w:hAnsi="Times New Roman" w:cs="Times New Roman"/>
          <w:sz w:val="24"/>
          <w:szCs w:val="24"/>
        </w:rPr>
        <w:t xml:space="preserve">  </w:t>
      </w:r>
      <w:r w:rsidR="00BA6730">
        <w:rPr>
          <w:rFonts w:ascii="Times New Roman" w:hAnsi="Times New Roman" w:cs="Times New Roman"/>
          <w:sz w:val="24"/>
          <w:szCs w:val="24"/>
        </w:rPr>
        <w:t>T</w:t>
      </w:r>
      <w:r w:rsidR="00A72017">
        <w:rPr>
          <w:rFonts w:ascii="Times New Roman" w:hAnsi="Times New Roman" w:cs="Times New Roman"/>
          <w:sz w:val="24"/>
          <w:szCs w:val="24"/>
        </w:rPr>
        <w:t>he Supreme Court envision</w:t>
      </w:r>
      <w:r w:rsidR="00BA6730">
        <w:rPr>
          <w:rFonts w:ascii="Times New Roman" w:hAnsi="Times New Roman" w:cs="Times New Roman"/>
          <w:sz w:val="24"/>
          <w:szCs w:val="24"/>
        </w:rPr>
        <w:t>ed</w:t>
      </w:r>
      <w:r w:rsidR="00A72017">
        <w:rPr>
          <w:rFonts w:ascii="Times New Roman" w:hAnsi="Times New Roman" w:cs="Times New Roman"/>
          <w:sz w:val="24"/>
          <w:szCs w:val="24"/>
        </w:rPr>
        <w:t xml:space="preserve"> habeas review in the Guantanamo context </w:t>
      </w:r>
      <w:r w:rsidR="00BA6730">
        <w:rPr>
          <w:rFonts w:ascii="Times New Roman" w:hAnsi="Times New Roman" w:cs="Times New Roman"/>
          <w:sz w:val="24"/>
          <w:szCs w:val="24"/>
        </w:rPr>
        <w:t xml:space="preserve">not only </w:t>
      </w:r>
      <w:r w:rsidR="00A72017">
        <w:rPr>
          <w:rFonts w:ascii="Times New Roman" w:hAnsi="Times New Roman" w:cs="Times New Roman"/>
          <w:sz w:val="24"/>
          <w:szCs w:val="24"/>
        </w:rPr>
        <w:t xml:space="preserve">as a means to challenge the legality of the detainees’ </w:t>
      </w:r>
      <w:r w:rsidR="00BA6730">
        <w:rPr>
          <w:rFonts w:ascii="Times New Roman" w:hAnsi="Times New Roman" w:cs="Times New Roman"/>
          <w:sz w:val="24"/>
          <w:szCs w:val="24"/>
        </w:rPr>
        <w:t>confinement</w:t>
      </w:r>
      <w:r w:rsidR="00A72017">
        <w:rPr>
          <w:rFonts w:ascii="Times New Roman" w:hAnsi="Times New Roman" w:cs="Times New Roman"/>
          <w:sz w:val="24"/>
          <w:szCs w:val="24"/>
        </w:rPr>
        <w:t xml:space="preserve">, but also as a means to allow </w:t>
      </w:r>
      <w:r w:rsidR="00BA6730">
        <w:rPr>
          <w:rFonts w:ascii="Times New Roman" w:hAnsi="Times New Roman" w:cs="Times New Roman"/>
          <w:sz w:val="24"/>
          <w:szCs w:val="24"/>
        </w:rPr>
        <w:t xml:space="preserve">careful </w:t>
      </w:r>
      <w:r w:rsidR="00A72017">
        <w:rPr>
          <w:rFonts w:ascii="Times New Roman" w:hAnsi="Times New Roman" w:cs="Times New Roman"/>
          <w:sz w:val="24"/>
          <w:szCs w:val="24"/>
        </w:rPr>
        <w:t xml:space="preserve">judicial </w:t>
      </w:r>
      <w:r w:rsidR="00BA6730">
        <w:rPr>
          <w:rFonts w:ascii="Times New Roman" w:hAnsi="Times New Roman" w:cs="Times New Roman"/>
          <w:sz w:val="24"/>
          <w:szCs w:val="24"/>
        </w:rPr>
        <w:t xml:space="preserve">scrutiny </w:t>
      </w:r>
      <w:r w:rsidR="00A72017">
        <w:rPr>
          <w:rFonts w:ascii="Times New Roman" w:hAnsi="Times New Roman" w:cs="Times New Roman"/>
          <w:sz w:val="24"/>
          <w:szCs w:val="24"/>
        </w:rPr>
        <w:t>of the facts used to support their detention.</w:t>
      </w:r>
    </w:p>
    <w:p w:rsidR="000D4165" w:rsidRPr="00927AAD" w:rsidRDefault="000D4165" w:rsidP="00927AAD">
      <w:pPr>
        <w:spacing w:after="240" w:line="240" w:lineRule="auto"/>
        <w:ind w:left="720" w:hanging="720"/>
        <w:jc w:val="both"/>
      </w:pPr>
      <w:r>
        <w:rPr>
          <w:rFonts w:ascii="Times New Roman" w:hAnsi="Times New Roman" w:cs="Times New Roman"/>
          <w:b/>
          <w:sz w:val="24"/>
          <w:szCs w:val="24"/>
        </w:rPr>
        <w:t>IV.</w:t>
      </w:r>
      <w:r>
        <w:rPr>
          <w:rFonts w:ascii="Times New Roman" w:hAnsi="Times New Roman" w:cs="Times New Roman"/>
          <w:b/>
          <w:sz w:val="24"/>
          <w:szCs w:val="24"/>
        </w:rPr>
        <w:tab/>
      </w:r>
      <w:r w:rsidR="00F75590">
        <w:rPr>
          <w:rFonts w:ascii="Times New Roman" w:hAnsi="Times New Roman" w:cs="Times New Roman"/>
          <w:b/>
          <w:sz w:val="24"/>
          <w:szCs w:val="24"/>
        </w:rPr>
        <w:t xml:space="preserve">Restricting </w:t>
      </w:r>
      <w:r w:rsidR="00383CDB">
        <w:rPr>
          <w:rFonts w:ascii="Times New Roman" w:hAnsi="Times New Roman" w:cs="Times New Roman"/>
          <w:b/>
          <w:sz w:val="24"/>
          <w:szCs w:val="24"/>
        </w:rPr>
        <w:t xml:space="preserve">Meaningful Review: </w:t>
      </w:r>
      <w:r w:rsidR="00927AAD">
        <w:rPr>
          <w:rFonts w:ascii="Times New Roman" w:hAnsi="Times New Roman" w:cs="Times New Roman"/>
          <w:b/>
          <w:sz w:val="24"/>
          <w:szCs w:val="24"/>
        </w:rPr>
        <w:t>t</w:t>
      </w:r>
      <w:r w:rsidR="00F75590">
        <w:rPr>
          <w:rFonts w:ascii="Times New Roman" w:hAnsi="Times New Roman" w:cs="Times New Roman"/>
          <w:b/>
          <w:sz w:val="24"/>
          <w:szCs w:val="24"/>
        </w:rPr>
        <w:t>he D.C. Circuit’s</w:t>
      </w:r>
      <w:r w:rsidR="00927AAD">
        <w:rPr>
          <w:rFonts w:ascii="Times New Roman" w:hAnsi="Times New Roman" w:cs="Times New Roman"/>
          <w:b/>
          <w:sz w:val="24"/>
          <w:szCs w:val="24"/>
        </w:rPr>
        <w:t xml:space="preserve"> Decision in</w:t>
      </w:r>
      <w:r w:rsidR="00F75590">
        <w:rPr>
          <w:rFonts w:ascii="Times New Roman" w:hAnsi="Times New Roman" w:cs="Times New Roman"/>
          <w:b/>
          <w:sz w:val="24"/>
          <w:szCs w:val="24"/>
        </w:rPr>
        <w:t xml:space="preserve"> </w:t>
      </w:r>
      <w:r w:rsidR="00383CDB">
        <w:rPr>
          <w:rFonts w:ascii="Times New Roman" w:hAnsi="Times New Roman" w:cs="Times New Roman"/>
          <w:b/>
          <w:i/>
          <w:sz w:val="24"/>
          <w:szCs w:val="24"/>
        </w:rPr>
        <w:t>Al-Ada</w:t>
      </w:r>
      <w:r w:rsidR="00927AAD">
        <w:rPr>
          <w:rFonts w:ascii="Times New Roman" w:hAnsi="Times New Roman" w:cs="Times New Roman"/>
          <w:b/>
          <w:i/>
          <w:sz w:val="24"/>
          <w:szCs w:val="24"/>
        </w:rPr>
        <w:t>hi</w:t>
      </w:r>
    </w:p>
    <w:p w:rsidR="006002C9" w:rsidRDefault="00927AAD" w:rsidP="006002C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B858D4">
        <w:rPr>
          <w:rFonts w:ascii="Times New Roman" w:hAnsi="Times New Roman" w:cs="Times New Roman"/>
          <w:sz w:val="24"/>
          <w:szCs w:val="24"/>
        </w:rPr>
        <w:t xml:space="preserve">After the Supreme Court invalidated the congressionally approved scheme of review, district courts began to carefully scrutinize government allegations in order to provide the meaningful review now required.  </w:t>
      </w:r>
      <w:r w:rsidR="006002C9" w:rsidRPr="004A5E53">
        <w:rPr>
          <w:rFonts w:ascii="Times New Roman" w:hAnsi="Times New Roman" w:cs="Times New Roman"/>
          <w:sz w:val="24"/>
          <w:szCs w:val="24"/>
        </w:rPr>
        <w:t xml:space="preserve">Two years after the Supreme Court decided </w:t>
      </w:r>
      <w:r w:rsidR="006002C9" w:rsidRPr="004A5E53">
        <w:rPr>
          <w:rFonts w:ascii="Times New Roman" w:hAnsi="Times New Roman" w:cs="Times New Roman"/>
          <w:i/>
          <w:sz w:val="24"/>
          <w:szCs w:val="24"/>
        </w:rPr>
        <w:t>Boumediene</w:t>
      </w:r>
      <w:r w:rsidR="006002C9" w:rsidRPr="004A5E53">
        <w:rPr>
          <w:rFonts w:ascii="Times New Roman" w:hAnsi="Times New Roman" w:cs="Times New Roman"/>
          <w:sz w:val="24"/>
          <w:szCs w:val="24"/>
        </w:rPr>
        <w:t>, the D.C. Circuit issued</w:t>
      </w:r>
      <w:r w:rsidR="006002C9">
        <w:rPr>
          <w:rFonts w:ascii="Times New Roman" w:hAnsi="Times New Roman" w:cs="Times New Roman"/>
          <w:sz w:val="24"/>
          <w:szCs w:val="24"/>
        </w:rPr>
        <w:t xml:space="preserve"> its first grant reversal.</w:t>
      </w:r>
      <w:r w:rsidR="006002C9">
        <w:rPr>
          <w:rStyle w:val="FootnoteReference"/>
          <w:rFonts w:ascii="Times New Roman" w:hAnsi="Times New Roman" w:cs="Times New Roman"/>
          <w:sz w:val="24"/>
          <w:szCs w:val="24"/>
        </w:rPr>
        <w:footnoteReference w:id="16"/>
      </w:r>
      <w:r w:rsidR="006002C9">
        <w:rPr>
          <w:rFonts w:ascii="Times New Roman" w:hAnsi="Times New Roman" w:cs="Times New Roman"/>
          <w:sz w:val="24"/>
          <w:szCs w:val="24"/>
        </w:rPr>
        <w:t xml:space="preserve">  </w:t>
      </w:r>
      <w:r w:rsidR="006002C9" w:rsidRPr="004A5E53">
        <w:rPr>
          <w:rFonts w:ascii="Times New Roman" w:hAnsi="Times New Roman" w:cs="Times New Roman"/>
          <w:sz w:val="24"/>
          <w:szCs w:val="24"/>
        </w:rPr>
        <w:t xml:space="preserve">In </w:t>
      </w:r>
      <w:r w:rsidR="006002C9">
        <w:rPr>
          <w:rFonts w:ascii="Times New Roman" w:hAnsi="Times New Roman" w:cs="Times New Roman"/>
          <w:i/>
          <w:sz w:val="24"/>
          <w:szCs w:val="24"/>
        </w:rPr>
        <w:t>Al-Adahi</w:t>
      </w:r>
      <w:r w:rsidR="006002C9" w:rsidRPr="004A5E53">
        <w:rPr>
          <w:rFonts w:ascii="Times New Roman" w:hAnsi="Times New Roman" w:cs="Times New Roman"/>
          <w:i/>
          <w:sz w:val="24"/>
          <w:szCs w:val="24"/>
        </w:rPr>
        <w:t xml:space="preserve"> v. Obama</w:t>
      </w:r>
      <w:r w:rsidR="006002C9" w:rsidRPr="004A5E53">
        <w:rPr>
          <w:rFonts w:ascii="Times New Roman" w:hAnsi="Times New Roman" w:cs="Times New Roman"/>
          <w:sz w:val="24"/>
          <w:szCs w:val="24"/>
        </w:rPr>
        <w:t>,</w:t>
      </w:r>
      <w:r w:rsidR="006002C9" w:rsidRPr="004A5E53">
        <w:rPr>
          <w:rStyle w:val="FootnoteReference"/>
          <w:rFonts w:ascii="Times New Roman" w:hAnsi="Times New Roman" w:cs="Times New Roman"/>
          <w:sz w:val="24"/>
          <w:szCs w:val="24"/>
        </w:rPr>
        <w:footnoteReference w:id="17"/>
      </w:r>
      <w:r w:rsidR="006002C9" w:rsidRPr="004A5E53">
        <w:rPr>
          <w:rFonts w:ascii="Times New Roman" w:hAnsi="Times New Roman" w:cs="Times New Roman"/>
          <w:sz w:val="24"/>
          <w:szCs w:val="24"/>
        </w:rPr>
        <w:t xml:space="preserve"> a CSRT initially determined </w:t>
      </w:r>
      <w:r w:rsidR="006002C9">
        <w:rPr>
          <w:rFonts w:ascii="Times New Roman" w:hAnsi="Times New Roman" w:cs="Times New Roman"/>
          <w:sz w:val="24"/>
          <w:szCs w:val="24"/>
        </w:rPr>
        <w:t xml:space="preserve">the petitioner, </w:t>
      </w:r>
      <w:r w:rsidR="006002C9" w:rsidRPr="006002C9">
        <w:rPr>
          <w:rFonts w:ascii="Times New Roman" w:hAnsi="Times New Roman" w:cs="Times New Roman"/>
          <w:sz w:val="24"/>
          <w:szCs w:val="24"/>
        </w:rPr>
        <w:t xml:space="preserve">Mohammed </w:t>
      </w:r>
      <w:r w:rsidR="006002C9">
        <w:rPr>
          <w:rFonts w:ascii="Times New Roman" w:hAnsi="Times New Roman" w:cs="Times New Roman"/>
          <w:sz w:val="24"/>
          <w:szCs w:val="24"/>
        </w:rPr>
        <w:t>Al-Adahi</w:t>
      </w:r>
      <w:r w:rsidR="006002C9" w:rsidRPr="004A5E53">
        <w:rPr>
          <w:rFonts w:ascii="Times New Roman" w:hAnsi="Times New Roman" w:cs="Times New Roman"/>
          <w:sz w:val="24"/>
          <w:szCs w:val="24"/>
        </w:rPr>
        <w:t xml:space="preserve"> was part of al Qaeda</w:t>
      </w:r>
      <w:r w:rsidR="006002C9">
        <w:rPr>
          <w:rFonts w:ascii="Times New Roman" w:hAnsi="Times New Roman" w:cs="Times New Roman"/>
          <w:sz w:val="24"/>
          <w:szCs w:val="24"/>
        </w:rPr>
        <w:t xml:space="preserve"> and thus subject to indefinite detention under the AUMF</w:t>
      </w:r>
      <w:r w:rsidR="006002C9" w:rsidRPr="004A5E53">
        <w:rPr>
          <w:rFonts w:ascii="Times New Roman" w:hAnsi="Times New Roman" w:cs="Times New Roman"/>
          <w:sz w:val="24"/>
          <w:szCs w:val="24"/>
        </w:rPr>
        <w:t>.</w:t>
      </w:r>
      <w:r w:rsidR="006002C9" w:rsidRPr="004A5E53">
        <w:rPr>
          <w:rStyle w:val="FootnoteReference"/>
          <w:rFonts w:ascii="Times New Roman" w:hAnsi="Times New Roman" w:cs="Times New Roman"/>
          <w:sz w:val="24"/>
          <w:szCs w:val="24"/>
        </w:rPr>
        <w:footnoteReference w:id="18"/>
      </w:r>
      <w:r w:rsidR="006002C9" w:rsidRPr="004A5E53">
        <w:rPr>
          <w:rFonts w:ascii="Times New Roman" w:hAnsi="Times New Roman" w:cs="Times New Roman"/>
          <w:sz w:val="24"/>
          <w:szCs w:val="24"/>
        </w:rPr>
        <w:t xml:space="preserve"> </w:t>
      </w:r>
      <w:r w:rsidR="006002C9">
        <w:rPr>
          <w:rFonts w:ascii="Times New Roman" w:hAnsi="Times New Roman" w:cs="Times New Roman"/>
          <w:sz w:val="24"/>
          <w:szCs w:val="24"/>
        </w:rPr>
        <w:t xml:space="preserve"> Al-Adahi</w:t>
      </w:r>
      <w:r w:rsidR="006002C9" w:rsidRPr="004A5E53">
        <w:rPr>
          <w:rFonts w:ascii="Times New Roman" w:hAnsi="Times New Roman" w:cs="Times New Roman"/>
          <w:sz w:val="24"/>
          <w:szCs w:val="24"/>
        </w:rPr>
        <w:t xml:space="preserve"> </w:t>
      </w:r>
      <w:r w:rsidR="006002C9">
        <w:rPr>
          <w:rFonts w:ascii="Times New Roman" w:hAnsi="Times New Roman" w:cs="Times New Roman"/>
          <w:sz w:val="24"/>
          <w:szCs w:val="24"/>
        </w:rPr>
        <w:t xml:space="preserve">had </w:t>
      </w:r>
      <w:r w:rsidR="006002C9" w:rsidRPr="004A5E53">
        <w:rPr>
          <w:rFonts w:ascii="Times New Roman" w:hAnsi="Times New Roman" w:cs="Times New Roman"/>
          <w:sz w:val="24"/>
          <w:szCs w:val="24"/>
        </w:rPr>
        <w:t>filed a petition for habeas</w:t>
      </w:r>
      <w:r w:rsidR="006002C9">
        <w:rPr>
          <w:rFonts w:ascii="Times New Roman" w:hAnsi="Times New Roman" w:cs="Times New Roman"/>
          <w:sz w:val="24"/>
          <w:szCs w:val="24"/>
        </w:rPr>
        <w:t xml:space="preserve"> relief, and the</w:t>
      </w:r>
      <w:r w:rsidR="006002C9" w:rsidRPr="004A5E53">
        <w:rPr>
          <w:rFonts w:ascii="Times New Roman" w:hAnsi="Times New Roman" w:cs="Times New Roman"/>
          <w:sz w:val="24"/>
          <w:szCs w:val="24"/>
        </w:rPr>
        <w:t xml:space="preserve"> </w:t>
      </w:r>
      <w:r w:rsidR="006002C9">
        <w:rPr>
          <w:rFonts w:ascii="Times New Roman" w:hAnsi="Times New Roman" w:cs="Times New Roman"/>
          <w:sz w:val="24"/>
          <w:szCs w:val="24"/>
        </w:rPr>
        <w:t>district court</w:t>
      </w:r>
      <w:r w:rsidR="006002C9" w:rsidRPr="004A5E53">
        <w:rPr>
          <w:rFonts w:ascii="Times New Roman" w:hAnsi="Times New Roman" w:cs="Times New Roman"/>
          <w:sz w:val="24"/>
          <w:szCs w:val="24"/>
        </w:rPr>
        <w:t xml:space="preserve"> </w:t>
      </w:r>
      <w:r w:rsidR="006002C9">
        <w:rPr>
          <w:rFonts w:ascii="Times New Roman" w:hAnsi="Times New Roman" w:cs="Times New Roman"/>
          <w:sz w:val="24"/>
          <w:szCs w:val="24"/>
        </w:rPr>
        <w:t xml:space="preserve">had </w:t>
      </w:r>
      <w:r w:rsidR="006002C9" w:rsidRPr="004A5E53">
        <w:rPr>
          <w:rFonts w:ascii="Times New Roman" w:hAnsi="Times New Roman" w:cs="Times New Roman"/>
          <w:sz w:val="24"/>
          <w:szCs w:val="24"/>
        </w:rPr>
        <w:t>held he was not part of al Qaeda</w:t>
      </w:r>
      <w:r w:rsidR="006002C9">
        <w:rPr>
          <w:rFonts w:ascii="Times New Roman" w:hAnsi="Times New Roman" w:cs="Times New Roman"/>
          <w:sz w:val="24"/>
          <w:szCs w:val="24"/>
        </w:rPr>
        <w:t>,</w:t>
      </w:r>
      <w:r w:rsidR="006002C9" w:rsidRPr="004A5E53">
        <w:rPr>
          <w:rFonts w:ascii="Times New Roman" w:hAnsi="Times New Roman" w:cs="Times New Roman"/>
          <w:sz w:val="24"/>
          <w:szCs w:val="24"/>
        </w:rPr>
        <w:t xml:space="preserve"> </w:t>
      </w:r>
      <w:r w:rsidR="006002C9">
        <w:rPr>
          <w:rFonts w:ascii="Times New Roman" w:hAnsi="Times New Roman" w:cs="Times New Roman"/>
          <w:sz w:val="24"/>
          <w:szCs w:val="24"/>
        </w:rPr>
        <w:t>ordering</w:t>
      </w:r>
      <w:r w:rsidR="006002C9" w:rsidRPr="004A5E53">
        <w:rPr>
          <w:rFonts w:ascii="Times New Roman" w:hAnsi="Times New Roman" w:cs="Times New Roman"/>
          <w:sz w:val="24"/>
          <w:szCs w:val="24"/>
        </w:rPr>
        <w:t xml:space="preserve"> his release.</w:t>
      </w:r>
      <w:r w:rsidR="006002C9" w:rsidRPr="004A5E53">
        <w:rPr>
          <w:rStyle w:val="FootnoteReference"/>
          <w:rFonts w:ascii="Times New Roman" w:hAnsi="Times New Roman" w:cs="Times New Roman"/>
          <w:sz w:val="24"/>
          <w:szCs w:val="24"/>
        </w:rPr>
        <w:footnoteReference w:id="19"/>
      </w:r>
      <w:r w:rsidR="006002C9" w:rsidRPr="004A5E53">
        <w:rPr>
          <w:rFonts w:ascii="Times New Roman" w:hAnsi="Times New Roman" w:cs="Times New Roman"/>
          <w:sz w:val="24"/>
          <w:szCs w:val="24"/>
        </w:rPr>
        <w:t xml:space="preserve"> </w:t>
      </w:r>
      <w:r w:rsidR="006002C9">
        <w:rPr>
          <w:rFonts w:ascii="Times New Roman" w:hAnsi="Times New Roman" w:cs="Times New Roman"/>
          <w:sz w:val="24"/>
          <w:szCs w:val="24"/>
        </w:rPr>
        <w:t xml:space="preserve"> The D.C. Circuit’s decision reversed that ruling.</w:t>
      </w:r>
      <w:r w:rsidR="006002C9">
        <w:rPr>
          <w:rStyle w:val="FootnoteReference"/>
          <w:rFonts w:ascii="Times New Roman" w:hAnsi="Times New Roman" w:cs="Times New Roman"/>
          <w:sz w:val="24"/>
          <w:szCs w:val="24"/>
        </w:rPr>
        <w:footnoteReference w:id="20"/>
      </w:r>
      <w:r w:rsidR="006002C9">
        <w:rPr>
          <w:rFonts w:ascii="Times New Roman" w:hAnsi="Times New Roman" w:cs="Times New Roman"/>
          <w:sz w:val="24"/>
          <w:szCs w:val="24"/>
        </w:rPr>
        <w:t xml:space="preserve">  </w:t>
      </w:r>
    </w:p>
    <w:p w:rsidR="006002C9" w:rsidRDefault="006002C9" w:rsidP="00F75590">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D.C. Circuit’s </w:t>
      </w:r>
      <w:r>
        <w:rPr>
          <w:rFonts w:ascii="Times New Roman" w:hAnsi="Times New Roman" w:cs="Times New Roman"/>
          <w:i/>
          <w:sz w:val="24"/>
          <w:szCs w:val="24"/>
        </w:rPr>
        <w:t>Al-Adahi</w:t>
      </w:r>
      <w:r>
        <w:rPr>
          <w:rFonts w:ascii="Times New Roman" w:hAnsi="Times New Roman" w:cs="Times New Roman"/>
          <w:sz w:val="24"/>
          <w:szCs w:val="24"/>
        </w:rPr>
        <w:t xml:space="preserve"> opinion is important </w:t>
      </w:r>
      <w:r w:rsidR="00B858D4">
        <w:rPr>
          <w:rFonts w:ascii="Times New Roman" w:hAnsi="Times New Roman" w:cs="Times New Roman"/>
          <w:sz w:val="24"/>
          <w:szCs w:val="24"/>
        </w:rPr>
        <w:t xml:space="preserve">not only for being the first grant reversal, but also because </w:t>
      </w:r>
      <w:r>
        <w:rPr>
          <w:rFonts w:ascii="Times New Roman" w:hAnsi="Times New Roman" w:cs="Times New Roman"/>
          <w:sz w:val="24"/>
          <w:szCs w:val="24"/>
        </w:rPr>
        <w:t>district court judges have</w:t>
      </w:r>
      <w:r w:rsidR="00B858D4">
        <w:rPr>
          <w:rFonts w:ascii="Times New Roman" w:hAnsi="Times New Roman" w:cs="Times New Roman"/>
          <w:sz w:val="24"/>
          <w:szCs w:val="24"/>
        </w:rPr>
        <w:t xml:space="preserve"> denied eleven out of twelve petitions since.  The sole grant,</w:t>
      </w:r>
      <w:r>
        <w:rPr>
          <w:rFonts w:ascii="Times New Roman" w:hAnsi="Times New Roman" w:cs="Times New Roman"/>
          <w:sz w:val="24"/>
          <w:szCs w:val="24"/>
        </w:rPr>
        <w:t xml:space="preserve"> </w:t>
      </w:r>
      <w:r>
        <w:rPr>
          <w:rFonts w:ascii="Times New Roman" w:hAnsi="Times New Roman" w:cs="Times New Roman"/>
          <w:i/>
          <w:sz w:val="24"/>
          <w:szCs w:val="24"/>
        </w:rPr>
        <w:t>Latif</w:t>
      </w:r>
      <w:r w:rsidR="00B858D4">
        <w:rPr>
          <w:rFonts w:ascii="Times New Roman" w:hAnsi="Times New Roman" w:cs="Times New Roman"/>
          <w:i/>
          <w:sz w:val="24"/>
          <w:szCs w:val="24"/>
        </w:rPr>
        <w:t xml:space="preserve"> v. Obama</w:t>
      </w:r>
      <w:r>
        <w:rPr>
          <w:rFonts w:ascii="Times New Roman" w:hAnsi="Times New Roman" w:cs="Times New Roman"/>
          <w:sz w:val="24"/>
          <w:szCs w:val="24"/>
        </w:rPr>
        <w:t>,</w:t>
      </w:r>
      <w:r w:rsidR="004C70D0">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r w:rsidR="00B858D4">
        <w:rPr>
          <w:rFonts w:ascii="Times New Roman" w:hAnsi="Times New Roman" w:cs="Times New Roman"/>
          <w:sz w:val="24"/>
          <w:szCs w:val="24"/>
        </w:rPr>
        <w:t xml:space="preserve">was subsequently vacated and remanded by </w:t>
      </w:r>
      <w:r>
        <w:rPr>
          <w:rFonts w:ascii="Times New Roman" w:hAnsi="Times New Roman" w:cs="Times New Roman"/>
          <w:sz w:val="24"/>
          <w:szCs w:val="24"/>
        </w:rPr>
        <w:t xml:space="preserve">the D.C. Circuit </w:t>
      </w:r>
      <w:r w:rsidR="00B858D4">
        <w:rPr>
          <w:rFonts w:ascii="Times New Roman" w:hAnsi="Times New Roman" w:cs="Times New Roman"/>
          <w:sz w:val="24"/>
          <w:szCs w:val="24"/>
        </w:rPr>
        <w:t>supporting</w:t>
      </w:r>
      <w:r>
        <w:rPr>
          <w:rFonts w:ascii="Times New Roman" w:hAnsi="Times New Roman" w:cs="Times New Roman"/>
          <w:sz w:val="24"/>
          <w:szCs w:val="24"/>
        </w:rPr>
        <w:t xml:space="preserve"> a conclusion that the D.C. Circuit </w:t>
      </w:r>
      <w:r w:rsidR="00B858D4">
        <w:rPr>
          <w:rFonts w:ascii="Times New Roman" w:hAnsi="Times New Roman" w:cs="Times New Roman"/>
          <w:sz w:val="24"/>
          <w:szCs w:val="24"/>
        </w:rPr>
        <w:t>meant to send</w:t>
      </w:r>
      <w:r>
        <w:rPr>
          <w:rFonts w:ascii="Times New Roman" w:hAnsi="Times New Roman" w:cs="Times New Roman"/>
          <w:sz w:val="24"/>
          <w:szCs w:val="24"/>
        </w:rPr>
        <w:t xml:space="preserve"> a message to the lower courts when it reversed </w:t>
      </w:r>
      <w:r>
        <w:rPr>
          <w:rFonts w:ascii="Times New Roman" w:hAnsi="Times New Roman" w:cs="Times New Roman"/>
          <w:i/>
          <w:sz w:val="24"/>
          <w:szCs w:val="24"/>
        </w:rPr>
        <w:t>Al-Adahi</w:t>
      </w:r>
      <w:r w:rsidR="00B858D4">
        <w:rPr>
          <w:rFonts w:ascii="Times New Roman" w:hAnsi="Times New Roman" w:cs="Times New Roman"/>
          <w:sz w:val="24"/>
          <w:szCs w:val="24"/>
        </w:rPr>
        <w:t xml:space="preserve"> and wanted to resend that message in </w:t>
      </w:r>
      <w:r w:rsidR="00B858D4">
        <w:rPr>
          <w:rFonts w:ascii="Times New Roman" w:hAnsi="Times New Roman" w:cs="Times New Roman"/>
          <w:i/>
          <w:sz w:val="24"/>
          <w:szCs w:val="24"/>
        </w:rPr>
        <w:t>Latif</w:t>
      </w:r>
      <w:r w:rsidR="00B858D4">
        <w:rPr>
          <w:rFonts w:ascii="Times New Roman" w:hAnsi="Times New Roman" w:cs="Times New Roman"/>
          <w:sz w:val="24"/>
          <w:szCs w:val="24"/>
        </w:rPr>
        <w:t xml:space="preserve">.  This Report contends that the D.C. Circuit’s message to the district courts was to stop scrutinizing the government’s factual allegations so closely.  This message reached a new extreme in </w:t>
      </w:r>
      <w:r w:rsidR="00B858D4">
        <w:rPr>
          <w:rFonts w:ascii="Times New Roman" w:hAnsi="Times New Roman" w:cs="Times New Roman"/>
          <w:i/>
          <w:sz w:val="24"/>
          <w:szCs w:val="24"/>
        </w:rPr>
        <w:t>Latif</w:t>
      </w:r>
      <w:r w:rsidR="00B858D4">
        <w:rPr>
          <w:rFonts w:ascii="Times New Roman" w:hAnsi="Times New Roman" w:cs="Times New Roman"/>
          <w:sz w:val="24"/>
          <w:szCs w:val="24"/>
        </w:rPr>
        <w:t xml:space="preserve"> where the D.C. Circuit not only prevented district judges from closely evaluating the government’s evidence but mandated that they give a presumption of accuracy to certain evidence (interrogation reports) submitted by the government, even though district courts had previously found that evidence unreliable.</w:t>
      </w:r>
    </w:p>
    <w:p w:rsidR="00927AAD" w:rsidRPr="004C70D0" w:rsidRDefault="006002C9" w:rsidP="00F75590">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927AAD">
        <w:rPr>
          <w:rFonts w:ascii="Times New Roman" w:hAnsi="Times New Roman" w:cs="Times New Roman"/>
          <w:sz w:val="24"/>
          <w:szCs w:val="24"/>
        </w:rPr>
        <w:t xml:space="preserve">As the chart below demonstrates, </w:t>
      </w:r>
      <w:r w:rsidR="0031457D">
        <w:rPr>
          <w:rFonts w:ascii="Times New Roman" w:hAnsi="Times New Roman" w:cs="Times New Roman"/>
          <w:sz w:val="24"/>
          <w:szCs w:val="24"/>
        </w:rPr>
        <w:t xml:space="preserve">petitioners were more likely to win than lose as </w:t>
      </w:r>
      <w:r w:rsidR="00927AAD">
        <w:rPr>
          <w:rFonts w:ascii="Times New Roman" w:hAnsi="Times New Roman" w:cs="Times New Roman"/>
          <w:sz w:val="24"/>
          <w:szCs w:val="24"/>
        </w:rPr>
        <w:t xml:space="preserve">district courts granted 56% of habeas petitions </w:t>
      </w:r>
      <w:r w:rsidR="00927AAD" w:rsidRPr="008B172F">
        <w:rPr>
          <w:rFonts w:ascii="Times New Roman" w:hAnsi="Times New Roman" w:cs="Times New Roman"/>
          <w:sz w:val="24"/>
          <w:szCs w:val="24"/>
        </w:rPr>
        <w:t>before</w:t>
      </w:r>
      <w:r w:rsidR="004C70D0">
        <w:rPr>
          <w:rFonts w:ascii="Times New Roman" w:hAnsi="Times New Roman" w:cs="Times New Roman"/>
          <w:sz w:val="24"/>
          <w:szCs w:val="24"/>
        </w:rPr>
        <w:t xml:space="preserve"> the D.C. Circuit’s decision in</w:t>
      </w:r>
      <w:r w:rsidR="00927AAD" w:rsidRPr="008B172F">
        <w:rPr>
          <w:rFonts w:ascii="Times New Roman" w:hAnsi="Times New Roman" w:cs="Times New Roman"/>
          <w:sz w:val="24"/>
          <w:szCs w:val="24"/>
        </w:rPr>
        <w:t xml:space="preserve"> </w:t>
      </w:r>
      <w:r w:rsidR="004C70D0">
        <w:rPr>
          <w:rFonts w:ascii="Times New Roman" w:hAnsi="Times New Roman" w:cs="Times New Roman"/>
          <w:i/>
          <w:sz w:val="24"/>
          <w:szCs w:val="24"/>
        </w:rPr>
        <w:t>Al-Adahi</w:t>
      </w:r>
      <w:r w:rsidR="004C70D0">
        <w:rPr>
          <w:rFonts w:ascii="Times New Roman" w:hAnsi="Times New Roman" w:cs="Times New Roman"/>
          <w:sz w:val="24"/>
          <w:szCs w:val="24"/>
        </w:rPr>
        <w:t>.</w:t>
      </w:r>
    </w:p>
    <w:p w:rsidR="0031457D" w:rsidRDefault="00383CDB" w:rsidP="0031457D">
      <w:pPr>
        <w:spacing w:after="240" w:line="240" w:lineRule="auto"/>
        <w:jc w:val="center"/>
        <w:rPr>
          <w:rFonts w:ascii="Times New Roman" w:hAnsi="Times New Roman" w:cs="Times New Roman"/>
          <w:sz w:val="24"/>
          <w:szCs w:val="24"/>
        </w:rPr>
      </w:pPr>
      <w:r w:rsidRPr="00383CDB">
        <w:rPr>
          <w:rFonts w:ascii="Times New Roman" w:hAnsi="Times New Roman" w:cs="Times New Roman"/>
          <w:noProof/>
          <w:sz w:val="24"/>
          <w:szCs w:val="24"/>
        </w:rPr>
        <w:drawing>
          <wp:inline distT="0" distB="0" distL="0" distR="0">
            <wp:extent cx="2022401" cy="1467293"/>
            <wp:effectExtent l="19050" t="0" r="15949" b="0"/>
            <wp:docPr id="23"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457D" w:rsidRDefault="0031457D" w:rsidP="0031457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Since </w:t>
      </w:r>
      <w:r>
        <w:rPr>
          <w:rFonts w:ascii="Times New Roman" w:hAnsi="Times New Roman" w:cs="Times New Roman"/>
          <w:i/>
          <w:sz w:val="24"/>
          <w:szCs w:val="24"/>
        </w:rPr>
        <w:t>Al-Adahi</w:t>
      </w:r>
      <w:r>
        <w:rPr>
          <w:rFonts w:ascii="Times New Roman" w:hAnsi="Times New Roman" w:cs="Times New Roman"/>
          <w:sz w:val="24"/>
          <w:szCs w:val="24"/>
        </w:rPr>
        <w:t>, however, an unmistakable pattern of denial has emerged in decisions</w:t>
      </w:r>
      <w:r w:rsidR="004C70D0">
        <w:rPr>
          <w:rFonts w:ascii="Times New Roman" w:hAnsi="Times New Roman" w:cs="Times New Roman"/>
          <w:sz w:val="24"/>
          <w:szCs w:val="24"/>
        </w:rPr>
        <w:t>—</w:t>
      </w:r>
      <w:r>
        <w:rPr>
          <w:rFonts w:ascii="Times New Roman" w:hAnsi="Times New Roman" w:cs="Times New Roman"/>
          <w:sz w:val="24"/>
          <w:szCs w:val="24"/>
        </w:rPr>
        <w:t xml:space="preserve">the district court has decided twelve petitions, eleven of which were denied.  </w:t>
      </w:r>
      <w:r>
        <w:rPr>
          <w:rFonts w:ascii="Times New Roman" w:hAnsi="Times New Roman" w:cs="Times New Roman"/>
          <w:i/>
          <w:sz w:val="24"/>
          <w:szCs w:val="24"/>
        </w:rPr>
        <w:t>Latif</w:t>
      </w:r>
      <w:r>
        <w:rPr>
          <w:rFonts w:ascii="Times New Roman" w:hAnsi="Times New Roman" w:cs="Times New Roman"/>
          <w:sz w:val="24"/>
          <w:szCs w:val="24"/>
        </w:rPr>
        <w:t>, the sole grant, has since been reversed and remanded by the D.C. Circuit.  The chart below illustrates the pattern:</w:t>
      </w:r>
    </w:p>
    <w:tbl>
      <w:tblPr>
        <w:tblW w:w="9328" w:type="dxa"/>
        <w:tblInd w:w="89" w:type="dxa"/>
        <w:tblLook w:val="04A0" w:firstRow="1" w:lastRow="0" w:firstColumn="1" w:lastColumn="0" w:noHBand="0" w:noVBand="1"/>
      </w:tblPr>
      <w:tblGrid>
        <w:gridCol w:w="4249"/>
        <w:gridCol w:w="1060"/>
        <w:gridCol w:w="1217"/>
        <w:gridCol w:w="2802"/>
      </w:tblGrid>
      <w:tr w:rsidR="0031457D" w:rsidRPr="00D87A28" w:rsidTr="004C70D0">
        <w:trPr>
          <w:trHeight w:val="610"/>
        </w:trPr>
        <w:tc>
          <w:tcPr>
            <w:tcW w:w="4249" w:type="dxa"/>
            <w:tcBorders>
              <w:top w:val="single" w:sz="8" w:space="0" w:color="auto"/>
              <w:left w:val="single" w:sz="8" w:space="0" w:color="auto"/>
              <w:bottom w:val="single" w:sz="8" w:space="0" w:color="auto"/>
              <w:right w:val="nil"/>
            </w:tcBorders>
            <w:shd w:val="clear" w:color="auto" w:fill="auto"/>
            <w:noWrap/>
            <w:vAlign w:val="center"/>
            <w:hideMark/>
          </w:tcPr>
          <w:p w:rsidR="0031457D" w:rsidRPr="00D87A28" w:rsidRDefault="0031457D" w:rsidP="00B858D4">
            <w:pPr>
              <w:spacing w:after="0" w:line="240" w:lineRule="auto"/>
              <w:rPr>
                <w:rFonts w:ascii="MS Sans Serif" w:eastAsia="Times New Roman" w:hAnsi="MS Sans Serif" w:cs="Times New Roman"/>
                <w:b/>
                <w:bCs/>
                <w:sz w:val="20"/>
                <w:szCs w:val="20"/>
              </w:rPr>
            </w:pPr>
            <w:r w:rsidRPr="00D87A28">
              <w:rPr>
                <w:rFonts w:ascii="MS Sans Serif" w:eastAsia="Times New Roman" w:hAnsi="MS Sans Serif" w:cs="Times New Roman"/>
                <w:b/>
                <w:bCs/>
                <w:sz w:val="20"/>
                <w:szCs w:val="20"/>
              </w:rPr>
              <w:t>Petitioner's Name</w:t>
            </w:r>
          </w:p>
        </w:tc>
        <w:tc>
          <w:tcPr>
            <w:tcW w:w="1060" w:type="dxa"/>
            <w:tcBorders>
              <w:top w:val="single" w:sz="8" w:space="0" w:color="auto"/>
              <w:left w:val="nil"/>
              <w:bottom w:val="single" w:sz="8" w:space="0" w:color="auto"/>
              <w:right w:val="nil"/>
            </w:tcBorders>
            <w:shd w:val="clear" w:color="auto" w:fill="auto"/>
            <w:noWrap/>
            <w:vAlign w:val="center"/>
            <w:hideMark/>
          </w:tcPr>
          <w:p w:rsidR="0031457D" w:rsidRPr="00D87A28" w:rsidRDefault="0031457D" w:rsidP="00B858D4">
            <w:pPr>
              <w:spacing w:after="0" w:line="240" w:lineRule="auto"/>
              <w:rPr>
                <w:rFonts w:ascii="MS Sans Serif" w:eastAsia="Times New Roman" w:hAnsi="MS Sans Serif" w:cs="Times New Roman"/>
                <w:b/>
                <w:bCs/>
                <w:sz w:val="20"/>
                <w:szCs w:val="20"/>
              </w:rPr>
            </w:pPr>
            <w:r w:rsidRPr="00D87A28">
              <w:rPr>
                <w:rFonts w:ascii="MS Sans Serif" w:eastAsia="Times New Roman" w:hAnsi="MS Sans Serif" w:cs="Times New Roman"/>
                <w:b/>
                <w:bCs/>
                <w:sz w:val="20"/>
                <w:szCs w:val="20"/>
              </w:rPr>
              <w:t>Decision</w:t>
            </w:r>
          </w:p>
        </w:tc>
        <w:tc>
          <w:tcPr>
            <w:tcW w:w="1217" w:type="dxa"/>
            <w:tcBorders>
              <w:top w:val="single" w:sz="8" w:space="0" w:color="auto"/>
              <w:left w:val="nil"/>
              <w:bottom w:val="single" w:sz="8" w:space="0" w:color="auto"/>
              <w:right w:val="nil"/>
            </w:tcBorders>
            <w:shd w:val="clear" w:color="auto" w:fill="auto"/>
            <w:noWrap/>
            <w:vAlign w:val="center"/>
            <w:hideMark/>
          </w:tcPr>
          <w:p w:rsidR="0031457D" w:rsidRPr="00D87A28" w:rsidRDefault="0031457D" w:rsidP="00B858D4">
            <w:pPr>
              <w:spacing w:after="0" w:line="240" w:lineRule="auto"/>
              <w:rPr>
                <w:rFonts w:ascii="MS Sans Serif" w:eastAsia="Times New Roman" w:hAnsi="MS Sans Serif" w:cs="Times New Roman"/>
                <w:b/>
                <w:bCs/>
                <w:sz w:val="20"/>
                <w:szCs w:val="20"/>
              </w:rPr>
            </w:pPr>
            <w:r w:rsidRPr="00D87A28">
              <w:rPr>
                <w:rFonts w:ascii="MS Sans Serif" w:eastAsia="Times New Roman" w:hAnsi="MS Sans Serif" w:cs="Times New Roman"/>
                <w:b/>
                <w:bCs/>
                <w:sz w:val="20"/>
                <w:szCs w:val="20"/>
              </w:rPr>
              <w:t>Date</w:t>
            </w:r>
          </w:p>
        </w:tc>
        <w:tc>
          <w:tcPr>
            <w:tcW w:w="2802" w:type="dxa"/>
            <w:tcBorders>
              <w:top w:val="single" w:sz="8" w:space="0" w:color="auto"/>
              <w:left w:val="nil"/>
              <w:bottom w:val="single" w:sz="8" w:space="0" w:color="auto"/>
              <w:right w:val="single" w:sz="8" w:space="0" w:color="auto"/>
            </w:tcBorders>
            <w:shd w:val="clear" w:color="auto" w:fill="auto"/>
            <w:vAlign w:val="center"/>
            <w:hideMark/>
          </w:tcPr>
          <w:p w:rsidR="0031457D" w:rsidRPr="00D87A28" w:rsidRDefault="0031457D" w:rsidP="00B858D4">
            <w:pPr>
              <w:spacing w:after="0" w:line="240" w:lineRule="auto"/>
              <w:rPr>
                <w:rFonts w:ascii="MS Sans Serif" w:eastAsia="Times New Roman" w:hAnsi="MS Sans Serif" w:cs="Times New Roman"/>
                <w:b/>
                <w:bCs/>
                <w:sz w:val="20"/>
                <w:szCs w:val="20"/>
              </w:rPr>
            </w:pPr>
            <w:r w:rsidRPr="00D87A28">
              <w:rPr>
                <w:rFonts w:ascii="MS Sans Serif" w:eastAsia="Times New Roman" w:hAnsi="MS Sans Serif" w:cs="Times New Roman"/>
                <w:b/>
                <w:bCs/>
                <w:sz w:val="20"/>
                <w:szCs w:val="20"/>
              </w:rPr>
              <w:t>D.C. Cir. Grant Reversed or Remanded (Post-Adahi)</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Belkacem Bensayah</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11/20/2008</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Saber Lahmar</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11/20/2008</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Mohamed Nechla</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11/20/2008</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Mustafa Ait Idir</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11/20/2008</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Lakhdar Boumediene</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11/20/2008</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Hadj Boudella</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11/20/2008</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Hisham Sliti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12/30/2008</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Mohammed el Gharani</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1/14/2009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Ghaleb Nasser al Bihani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1/28/2009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Yasim Muhammed Basardah</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3/31/2009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Hedi Hammamy/Abdul Haddi Bin Hadiddi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4/2/2009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Alla Ali Bin Ali Ahmed</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5/4/2009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Abd al Rahim Abdul Rassak Janko</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6/22/2009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Khalid Abdullah Mishal Al Mutairi</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7/29/2009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Saki Bacha (aka Mohammed Jawad)</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7/30/2009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Waqas Mohammed Ali Awad</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8/12/2009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Mohammed Al-Adahi</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8/17/2009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Fawzi Khalid Abdullah Fahad Al Odah</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8/24/2009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Sufyian Barhoumi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9/3/2009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Fouad Mahmoud Al Rabiah</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9/17/2009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Farhi Saeed Bin Mohammed</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11/19/2009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Musa'ab al Madhwani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12/14/2009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Saeed Hatim</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12/15/2009</w:t>
            </w:r>
          </w:p>
        </w:tc>
        <w:tc>
          <w:tcPr>
            <w:tcW w:w="2802" w:type="dxa"/>
            <w:tcBorders>
              <w:top w:val="nil"/>
              <w:left w:val="nil"/>
              <w:bottom w:val="nil"/>
              <w:right w:val="single" w:sz="8" w:space="0" w:color="auto"/>
            </w:tcBorders>
            <w:shd w:val="clear" w:color="000000" w:fill="FF0000"/>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Remanded</w:t>
            </w:r>
            <w:r w:rsidR="004C70D0">
              <w:rPr>
                <w:rFonts w:ascii="MS Sans Serif" w:eastAsia="Times New Roman" w:hAnsi="MS Sans Serif" w:cs="Times New Roman"/>
                <w:sz w:val="20"/>
                <w:szCs w:val="20"/>
              </w:rPr>
              <w:t xml:space="preserve"> 2/15/11</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Moath Hamza Ahmed al Alwi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12/30/2009</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Uthman Abdul Rahim Mohammed Uthman</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2/21/2010</w:t>
            </w:r>
          </w:p>
        </w:tc>
        <w:tc>
          <w:tcPr>
            <w:tcW w:w="2802" w:type="dxa"/>
            <w:tcBorders>
              <w:top w:val="nil"/>
              <w:left w:val="nil"/>
              <w:bottom w:val="nil"/>
              <w:right w:val="single" w:sz="8" w:space="0" w:color="auto"/>
            </w:tcBorders>
            <w:shd w:val="clear" w:color="000000" w:fill="FF0000"/>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Reversed</w:t>
            </w:r>
            <w:r w:rsidR="004C70D0">
              <w:rPr>
                <w:rFonts w:ascii="MS Sans Serif" w:eastAsia="Times New Roman" w:hAnsi="MS Sans Serif" w:cs="Times New Roman"/>
                <w:sz w:val="20"/>
                <w:szCs w:val="20"/>
              </w:rPr>
              <w:t xml:space="preserve"> 3/29/11</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Suleiman Awadh Bin Agil Al-Nahdi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3/10/2010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Fahmi Salem Al-Assani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3/10/2010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Mohammedou Ould Salahi</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3/22/2010</w:t>
            </w:r>
          </w:p>
        </w:tc>
        <w:tc>
          <w:tcPr>
            <w:tcW w:w="2802" w:type="dxa"/>
            <w:tcBorders>
              <w:top w:val="nil"/>
              <w:left w:val="nil"/>
              <w:bottom w:val="nil"/>
              <w:right w:val="single" w:sz="8" w:space="0" w:color="auto"/>
            </w:tcBorders>
            <w:shd w:val="clear" w:color="000000" w:fill="FF0000"/>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Remanded</w:t>
            </w:r>
            <w:r w:rsidR="004C70D0">
              <w:rPr>
                <w:rFonts w:ascii="MS Sans Serif" w:eastAsia="Times New Roman" w:hAnsi="MS Sans Serif" w:cs="Times New Roman"/>
                <w:sz w:val="20"/>
                <w:szCs w:val="20"/>
              </w:rPr>
              <w:t xml:space="preserve"> 11/15/10</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Mukhtar al Warafi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3/24/2010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Yasein Khasem Mohammed Esmail</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4/8/2010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Ravil Mingazov</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5/13/2010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Mohamed Mohamed Hassan Odaini</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5/26/2010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Omar Mohammed Khalifh</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5/28/2010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Hussein Salem Mohammad Almerfedi</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7/8/2010</w:t>
            </w:r>
          </w:p>
        </w:tc>
        <w:tc>
          <w:tcPr>
            <w:tcW w:w="2802" w:type="dxa"/>
            <w:tcBorders>
              <w:top w:val="nil"/>
              <w:left w:val="nil"/>
              <w:bottom w:val="nil"/>
              <w:right w:val="single" w:sz="8" w:space="0" w:color="auto"/>
            </w:tcBorders>
            <w:shd w:val="clear" w:color="000000" w:fill="FF0000"/>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Reversed</w:t>
            </w:r>
            <w:r w:rsidR="004C70D0">
              <w:rPr>
                <w:rFonts w:ascii="MS Sans Serif" w:eastAsia="Times New Roman" w:hAnsi="MS Sans Serif" w:cs="Times New Roman"/>
                <w:sz w:val="20"/>
                <w:szCs w:val="20"/>
              </w:rPr>
              <w:t xml:space="preserve"> 6/10/11</w:t>
            </w:r>
          </w:p>
        </w:tc>
      </w:tr>
      <w:tr w:rsidR="0031457D" w:rsidRPr="00D87A28" w:rsidTr="004C70D0">
        <w:trPr>
          <w:trHeight w:val="255"/>
        </w:trPr>
        <w:tc>
          <w:tcPr>
            <w:tcW w:w="4249" w:type="dxa"/>
            <w:tcBorders>
              <w:top w:val="nil"/>
              <w:left w:val="single" w:sz="8" w:space="0" w:color="auto"/>
              <w:bottom w:val="nil"/>
              <w:right w:val="nil"/>
            </w:tcBorders>
            <w:shd w:val="clear" w:color="000000" w:fill="FF0000"/>
            <w:noWrap/>
            <w:vAlign w:val="bottom"/>
            <w:hideMark/>
          </w:tcPr>
          <w:p w:rsidR="0031457D" w:rsidRPr="00D87A28" w:rsidRDefault="0031457D" w:rsidP="00B858D4">
            <w:pPr>
              <w:spacing w:after="0" w:line="240" w:lineRule="auto"/>
              <w:rPr>
                <w:rFonts w:ascii="MS Sans Serif" w:eastAsia="Times New Roman" w:hAnsi="MS Sans Serif" w:cs="Times New Roman"/>
                <w:b/>
                <w:bCs/>
                <w:sz w:val="20"/>
                <w:szCs w:val="20"/>
              </w:rPr>
            </w:pPr>
            <w:r w:rsidRPr="00D87A28">
              <w:rPr>
                <w:rFonts w:ascii="MS Sans Serif" w:eastAsia="Times New Roman" w:hAnsi="MS Sans Serif" w:cs="Times New Roman"/>
                <w:b/>
                <w:bCs/>
                <w:sz w:val="20"/>
                <w:szCs w:val="20"/>
              </w:rPr>
              <w:t>Al-Adahi Reversal</w:t>
            </w:r>
          </w:p>
        </w:tc>
        <w:tc>
          <w:tcPr>
            <w:tcW w:w="1060" w:type="dxa"/>
            <w:tcBorders>
              <w:top w:val="nil"/>
              <w:left w:val="nil"/>
              <w:bottom w:val="nil"/>
              <w:right w:val="nil"/>
            </w:tcBorders>
            <w:shd w:val="clear" w:color="000000" w:fill="FF0000"/>
            <w:noWrap/>
            <w:vAlign w:val="bottom"/>
            <w:hideMark/>
          </w:tcPr>
          <w:p w:rsidR="0031457D" w:rsidRPr="00D87A28" w:rsidRDefault="0031457D" w:rsidP="00B858D4">
            <w:pPr>
              <w:spacing w:after="0" w:line="240" w:lineRule="auto"/>
              <w:rPr>
                <w:rFonts w:ascii="MS Sans Serif" w:eastAsia="Times New Roman" w:hAnsi="MS Sans Serif" w:cs="Times New Roman"/>
                <w:b/>
                <w:bCs/>
                <w:sz w:val="20"/>
                <w:szCs w:val="20"/>
              </w:rPr>
            </w:pPr>
            <w:r w:rsidRPr="00D87A28">
              <w:rPr>
                <w:rFonts w:ascii="MS Sans Serif" w:eastAsia="Times New Roman" w:hAnsi="MS Sans Serif" w:cs="Times New Roman"/>
                <w:b/>
                <w:bCs/>
                <w:sz w:val="20"/>
                <w:szCs w:val="20"/>
              </w:rPr>
              <w:t> </w:t>
            </w:r>
          </w:p>
        </w:tc>
        <w:tc>
          <w:tcPr>
            <w:tcW w:w="1217" w:type="dxa"/>
            <w:tcBorders>
              <w:top w:val="nil"/>
              <w:left w:val="nil"/>
              <w:bottom w:val="nil"/>
              <w:right w:val="nil"/>
            </w:tcBorders>
            <w:shd w:val="clear" w:color="000000" w:fill="FF0000"/>
            <w:noWrap/>
            <w:vAlign w:val="center"/>
            <w:hideMark/>
          </w:tcPr>
          <w:p w:rsidR="0031457D" w:rsidRPr="00D87A28" w:rsidRDefault="0031457D" w:rsidP="00B858D4">
            <w:pPr>
              <w:spacing w:after="0" w:line="240" w:lineRule="auto"/>
              <w:jc w:val="right"/>
              <w:rPr>
                <w:rFonts w:ascii="MS Sans Serif" w:eastAsia="Times New Roman" w:hAnsi="MS Sans Serif" w:cs="Times New Roman"/>
                <w:b/>
                <w:bCs/>
                <w:sz w:val="20"/>
                <w:szCs w:val="20"/>
              </w:rPr>
            </w:pPr>
            <w:r w:rsidRPr="00D87A28">
              <w:rPr>
                <w:rFonts w:ascii="MS Sans Serif" w:eastAsia="Times New Roman" w:hAnsi="MS Sans Serif" w:cs="Times New Roman"/>
                <w:b/>
                <w:bCs/>
                <w:sz w:val="20"/>
                <w:szCs w:val="20"/>
              </w:rPr>
              <w:t>7/13/2010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Abd al Rathman Abu Ghayth Sulayman</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7/20/2010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Adnan Farhan Abd Al Latif</w:t>
            </w:r>
          </w:p>
        </w:tc>
        <w:tc>
          <w:tcPr>
            <w:tcW w:w="1060" w:type="dxa"/>
            <w:tcBorders>
              <w:top w:val="nil"/>
              <w:left w:val="nil"/>
              <w:bottom w:val="nil"/>
              <w:right w:val="nil"/>
            </w:tcBorders>
            <w:shd w:val="clear" w:color="000000" w:fill="8DB4E3"/>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Grant</w:t>
            </w:r>
          </w:p>
        </w:tc>
        <w:tc>
          <w:tcPr>
            <w:tcW w:w="1217" w:type="dxa"/>
            <w:tcBorders>
              <w:top w:val="nil"/>
              <w:left w:val="nil"/>
              <w:bottom w:val="nil"/>
              <w:right w:val="nil"/>
            </w:tcBorders>
            <w:shd w:val="clear" w:color="000000" w:fill="8DB4E3"/>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8/16/2010</w:t>
            </w:r>
          </w:p>
        </w:tc>
        <w:tc>
          <w:tcPr>
            <w:tcW w:w="2802" w:type="dxa"/>
            <w:tcBorders>
              <w:top w:val="nil"/>
              <w:left w:val="nil"/>
              <w:bottom w:val="nil"/>
              <w:right w:val="single" w:sz="8" w:space="0" w:color="auto"/>
            </w:tcBorders>
            <w:shd w:val="clear" w:color="000000" w:fill="FF0000"/>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Remanded</w:t>
            </w:r>
            <w:r w:rsidR="004C70D0">
              <w:rPr>
                <w:rFonts w:ascii="MS Sans Serif" w:eastAsia="Times New Roman" w:hAnsi="MS Sans Serif" w:cs="Times New Roman"/>
                <w:sz w:val="20"/>
                <w:szCs w:val="20"/>
              </w:rPr>
              <w:t xml:space="preserve"> 10/14/11</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Shawali Khan</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9/3/2010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Fayiz Al Kandari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9/15/2010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Toffiq Nasser Awad Al-Bihani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10/7/2010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Obaydullah</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10/15/2010</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Abdul Razak Ali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1/11/2011</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Mashour Abdullah Muqbel Alsabri</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2/3/2011</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Khair Ulla Said Wali Khairkhwa</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5/27/2011</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Fadhel Hussein Saleh Hentif</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8/1/2011</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55"/>
        </w:trPr>
        <w:tc>
          <w:tcPr>
            <w:tcW w:w="4249" w:type="dxa"/>
            <w:tcBorders>
              <w:top w:val="nil"/>
              <w:left w:val="single" w:sz="8" w:space="0" w:color="auto"/>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Abdul Qader Ahmed Hussein</w:t>
            </w:r>
          </w:p>
        </w:tc>
        <w:tc>
          <w:tcPr>
            <w:tcW w:w="1060" w:type="dxa"/>
            <w:tcBorders>
              <w:top w:val="nil"/>
              <w:left w:val="nil"/>
              <w:bottom w:val="nil"/>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nil"/>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10/12/2011</w:t>
            </w:r>
          </w:p>
        </w:tc>
        <w:tc>
          <w:tcPr>
            <w:tcW w:w="2802" w:type="dxa"/>
            <w:tcBorders>
              <w:top w:val="nil"/>
              <w:left w:val="nil"/>
              <w:bottom w:val="nil"/>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r w:rsidR="0031457D" w:rsidRPr="00D87A28" w:rsidTr="004C70D0">
        <w:trPr>
          <w:trHeight w:val="270"/>
        </w:trPr>
        <w:tc>
          <w:tcPr>
            <w:tcW w:w="4249" w:type="dxa"/>
            <w:tcBorders>
              <w:top w:val="nil"/>
              <w:left w:val="single" w:sz="8" w:space="0" w:color="auto"/>
              <w:bottom w:val="single" w:sz="8" w:space="0" w:color="auto"/>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Karim Bostan</w:t>
            </w:r>
          </w:p>
        </w:tc>
        <w:tc>
          <w:tcPr>
            <w:tcW w:w="1060" w:type="dxa"/>
            <w:tcBorders>
              <w:top w:val="nil"/>
              <w:left w:val="nil"/>
              <w:bottom w:val="single" w:sz="8" w:space="0" w:color="auto"/>
              <w:right w:val="nil"/>
            </w:tcBorders>
            <w:shd w:val="clear" w:color="000000" w:fill="E6B9B8"/>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Deny</w:t>
            </w:r>
          </w:p>
        </w:tc>
        <w:tc>
          <w:tcPr>
            <w:tcW w:w="1217" w:type="dxa"/>
            <w:tcBorders>
              <w:top w:val="nil"/>
              <w:left w:val="nil"/>
              <w:bottom w:val="single" w:sz="8" w:space="0" w:color="auto"/>
              <w:right w:val="nil"/>
            </w:tcBorders>
            <w:shd w:val="clear" w:color="000000" w:fill="E6B9B8"/>
            <w:noWrap/>
            <w:vAlign w:val="center"/>
            <w:hideMark/>
          </w:tcPr>
          <w:p w:rsidR="0031457D" w:rsidRPr="00D87A28" w:rsidRDefault="0031457D" w:rsidP="00B858D4">
            <w:pPr>
              <w:spacing w:after="0" w:line="240" w:lineRule="auto"/>
              <w:jc w:val="right"/>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10/12/2011</w:t>
            </w:r>
          </w:p>
        </w:tc>
        <w:tc>
          <w:tcPr>
            <w:tcW w:w="2802" w:type="dxa"/>
            <w:tcBorders>
              <w:top w:val="nil"/>
              <w:left w:val="nil"/>
              <w:bottom w:val="single" w:sz="8" w:space="0" w:color="auto"/>
              <w:right w:val="single" w:sz="8" w:space="0" w:color="auto"/>
            </w:tcBorders>
            <w:shd w:val="clear" w:color="auto" w:fill="auto"/>
            <w:noWrap/>
            <w:vAlign w:val="bottom"/>
            <w:hideMark/>
          </w:tcPr>
          <w:p w:rsidR="0031457D" w:rsidRPr="00D87A28" w:rsidRDefault="0031457D" w:rsidP="00B858D4">
            <w:pPr>
              <w:spacing w:after="0" w:line="240" w:lineRule="auto"/>
              <w:rPr>
                <w:rFonts w:ascii="MS Sans Serif" w:eastAsia="Times New Roman" w:hAnsi="MS Sans Serif" w:cs="Times New Roman"/>
                <w:sz w:val="20"/>
                <w:szCs w:val="20"/>
              </w:rPr>
            </w:pPr>
            <w:r w:rsidRPr="00D87A28">
              <w:rPr>
                <w:rFonts w:ascii="MS Sans Serif" w:eastAsia="Times New Roman" w:hAnsi="MS Sans Serif" w:cs="Times New Roman"/>
                <w:sz w:val="20"/>
                <w:szCs w:val="20"/>
              </w:rPr>
              <w:t> </w:t>
            </w:r>
          </w:p>
        </w:tc>
      </w:tr>
    </w:tbl>
    <w:p w:rsidR="0080294A" w:rsidRPr="002113C6" w:rsidRDefault="0080294A" w:rsidP="004A5E53">
      <w:pPr>
        <w:spacing w:after="240" w:line="240" w:lineRule="auto"/>
        <w:jc w:val="both"/>
        <w:rPr>
          <w:rFonts w:ascii="Times New Roman" w:hAnsi="Times New Roman" w:cs="Times New Roman"/>
          <w:sz w:val="24"/>
          <w:szCs w:val="24"/>
        </w:rPr>
      </w:pPr>
    </w:p>
    <w:p w:rsidR="006D04A6" w:rsidRPr="006D04A6" w:rsidRDefault="002536D4" w:rsidP="002B5B08">
      <w:pPr>
        <w:spacing w:after="24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Analyzing the government’s most frequently made factual allegations, </w:t>
      </w:r>
      <w:r w:rsidR="002B5B08" w:rsidRPr="004A5E53">
        <w:rPr>
          <w:rFonts w:ascii="Times New Roman" w:hAnsi="Times New Roman" w:cs="Times New Roman"/>
          <w:sz w:val="24"/>
          <w:szCs w:val="24"/>
        </w:rPr>
        <w:t xml:space="preserve">three patterns </w:t>
      </w:r>
      <w:r>
        <w:rPr>
          <w:rFonts w:ascii="Times New Roman" w:hAnsi="Times New Roman" w:cs="Times New Roman"/>
          <w:sz w:val="24"/>
          <w:szCs w:val="24"/>
        </w:rPr>
        <w:t>emerge decisions</w:t>
      </w:r>
      <w:r w:rsidR="002B5B08" w:rsidRPr="004A5E53">
        <w:rPr>
          <w:rFonts w:ascii="Times New Roman" w:hAnsi="Times New Roman" w:cs="Times New Roman"/>
          <w:sz w:val="24"/>
          <w:szCs w:val="24"/>
        </w:rPr>
        <w:t xml:space="preserve"> before and after </w:t>
      </w:r>
      <w:r w:rsidR="002B5B08">
        <w:rPr>
          <w:rFonts w:ascii="Times New Roman" w:hAnsi="Times New Roman" w:cs="Times New Roman"/>
          <w:i/>
          <w:sz w:val="24"/>
          <w:szCs w:val="24"/>
        </w:rPr>
        <w:t>Al-Adahi</w:t>
      </w:r>
      <w:r w:rsidR="002B5B08" w:rsidRPr="004A5E53">
        <w:rPr>
          <w:rFonts w:ascii="Times New Roman" w:hAnsi="Times New Roman" w:cs="Times New Roman"/>
          <w:i/>
          <w:sz w:val="24"/>
          <w:szCs w:val="24"/>
        </w:rPr>
        <w:t xml:space="preserve"> </w:t>
      </w:r>
      <w:r>
        <w:rPr>
          <w:rFonts w:ascii="Times New Roman" w:hAnsi="Times New Roman" w:cs="Times New Roman"/>
          <w:sz w:val="24"/>
          <w:szCs w:val="24"/>
        </w:rPr>
        <w:t>that</w:t>
      </w:r>
      <w:r w:rsidR="002B5B08" w:rsidRPr="004A5E53">
        <w:rPr>
          <w:rFonts w:ascii="Times New Roman" w:hAnsi="Times New Roman" w:cs="Times New Roman"/>
          <w:sz w:val="24"/>
          <w:szCs w:val="24"/>
        </w:rPr>
        <w:t xml:space="preserve"> confirm </w:t>
      </w:r>
      <w:r w:rsidR="002B5B08">
        <w:rPr>
          <w:rFonts w:ascii="Times New Roman" w:hAnsi="Times New Roman" w:cs="Times New Roman"/>
          <w:sz w:val="24"/>
          <w:szCs w:val="24"/>
        </w:rPr>
        <w:t>the D.C. Circuit’s message has been heard loud and clear by the district judges.</w:t>
      </w:r>
      <w:r w:rsidR="002B5B08" w:rsidRPr="004A5E53">
        <w:rPr>
          <w:rFonts w:ascii="Times New Roman" w:hAnsi="Times New Roman" w:cs="Times New Roman"/>
          <w:sz w:val="24"/>
          <w:szCs w:val="24"/>
        </w:rPr>
        <w:t xml:space="preserve"> </w:t>
      </w:r>
      <w:r w:rsidR="002B5B08">
        <w:rPr>
          <w:rFonts w:ascii="Times New Roman" w:hAnsi="Times New Roman" w:cs="Times New Roman"/>
          <w:sz w:val="24"/>
          <w:szCs w:val="24"/>
        </w:rPr>
        <w:t xml:space="preserve"> First, </w:t>
      </w:r>
      <w:r w:rsidR="006D04A6">
        <w:rPr>
          <w:rFonts w:ascii="Times New Roman" w:hAnsi="Times New Roman" w:cs="Times New Roman"/>
          <w:sz w:val="24"/>
          <w:szCs w:val="24"/>
        </w:rPr>
        <w:t>district judges have become less likely to reject</w:t>
      </w:r>
      <w:r w:rsidR="002B5B08">
        <w:rPr>
          <w:rFonts w:ascii="Times New Roman" w:hAnsi="Times New Roman" w:cs="Times New Roman"/>
          <w:sz w:val="24"/>
          <w:szCs w:val="24"/>
        </w:rPr>
        <w:t xml:space="preserve"> a government allegation.  Second</w:t>
      </w:r>
      <w:r w:rsidR="002B5B08" w:rsidRPr="004A5E53">
        <w:rPr>
          <w:rFonts w:ascii="Times New Roman" w:hAnsi="Times New Roman" w:cs="Times New Roman"/>
          <w:sz w:val="24"/>
          <w:szCs w:val="24"/>
        </w:rPr>
        <w:t>, there is an overall rise in the frequency with which the court accepts the government’s allegations about the detainee.</w:t>
      </w:r>
      <w:r w:rsidR="002B5B08">
        <w:rPr>
          <w:rFonts w:ascii="Times New Roman" w:hAnsi="Times New Roman" w:cs="Times New Roman"/>
          <w:sz w:val="24"/>
          <w:szCs w:val="24"/>
        </w:rPr>
        <w:t xml:space="preserve">  Finally, </w:t>
      </w:r>
      <w:r w:rsidR="002B5B08" w:rsidRPr="004A5E53">
        <w:rPr>
          <w:rFonts w:ascii="Times New Roman" w:hAnsi="Times New Roman" w:cs="Times New Roman"/>
          <w:sz w:val="24"/>
          <w:szCs w:val="24"/>
        </w:rPr>
        <w:t>there is also a general increase in</w:t>
      </w:r>
      <w:r w:rsidR="002B5B08">
        <w:rPr>
          <w:rFonts w:ascii="Times New Roman" w:hAnsi="Times New Roman" w:cs="Times New Roman"/>
          <w:sz w:val="24"/>
          <w:szCs w:val="24"/>
        </w:rPr>
        <w:t xml:space="preserve"> the</w:t>
      </w:r>
      <w:r w:rsidR="002B5B08" w:rsidRPr="004A5E53">
        <w:rPr>
          <w:rFonts w:ascii="Times New Roman" w:hAnsi="Times New Roman" w:cs="Times New Roman"/>
          <w:sz w:val="24"/>
          <w:szCs w:val="24"/>
        </w:rPr>
        <w:t xml:space="preserve"> </w:t>
      </w:r>
      <w:r w:rsidR="002B5B08">
        <w:rPr>
          <w:rFonts w:ascii="Times New Roman" w:hAnsi="Times New Roman" w:cs="Times New Roman"/>
          <w:sz w:val="24"/>
          <w:szCs w:val="24"/>
        </w:rPr>
        <w:t>district court’s</w:t>
      </w:r>
      <w:r w:rsidR="002B5B08" w:rsidRPr="004A5E53">
        <w:rPr>
          <w:rFonts w:ascii="Times New Roman" w:hAnsi="Times New Roman" w:cs="Times New Roman"/>
          <w:sz w:val="24"/>
          <w:szCs w:val="24"/>
        </w:rPr>
        <w:t xml:space="preserve"> propensity for remaining silent on the weight it assigns to a piece of evidence.</w:t>
      </w:r>
    </w:p>
    <w:p w:rsidR="002536D4" w:rsidRDefault="002536D4" w:rsidP="002536D4">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t>Combining the four main allegations (Hostile Acts, Guesthouse, Training Camps, and Travel)</w:t>
      </w:r>
      <w:r w:rsidRPr="008B172F">
        <w:rPr>
          <w:rFonts w:ascii="Times New Roman" w:hAnsi="Times New Roman" w:cs="Times New Roman"/>
          <w:sz w:val="24"/>
          <w:szCs w:val="24"/>
        </w:rPr>
        <w:t>,</w:t>
      </w:r>
      <w:r>
        <w:rPr>
          <w:rFonts w:ascii="Times New Roman" w:hAnsi="Times New Roman" w:cs="Times New Roman"/>
          <w:sz w:val="24"/>
          <w:szCs w:val="24"/>
        </w:rPr>
        <w:t xml:space="preserve"> this trend can be seen in the charts below:</w:t>
      </w:r>
    </w:p>
    <w:p w:rsidR="002536D4" w:rsidRPr="00420856" w:rsidRDefault="002536D4" w:rsidP="00420856">
      <w:pPr>
        <w:spacing w:after="240" w:line="240" w:lineRule="auto"/>
        <w:jc w:val="center"/>
        <w:rPr>
          <w:rFonts w:ascii="Times New Roman" w:hAnsi="Times New Roman" w:cs="Times New Roman"/>
          <w:sz w:val="24"/>
          <w:szCs w:val="24"/>
        </w:rPr>
      </w:pPr>
      <w:r>
        <w:rPr>
          <w:noProof/>
        </w:rPr>
        <w:drawing>
          <wp:inline distT="0" distB="0" distL="0" distR="0">
            <wp:extent cx="2314575" cy="2162175"/>
            <wp:effectExtent l="19050" t="0" r="9525" b="0"/>
            <wp:docPr id="26"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sz w:val="24"/>
          <w:szCs w:val="24"/>
        </w:rPr>
        <w:t xml:space="preserve">    </w:t>
      </w:r>
      <w:r>
        <w:rPr>
          <w:noProof/>
        </w:rPr>
        <w:drawing>
          <wp:inline distT="0" distB="0" distL="0" distR="0">
            <wp:extent cx="2371725" cy="2171700"/>
            <wp:effectExtent l="19050" t="0" r="9525" b="0"/>
            <wp:docPr id="27"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20856" w:rsidRPr="00420856" w:rsidRDefault="00420856" w:rsidP="004208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charts demonstrate, district courts rejected government allegations 40% of the time before </w:t>
      </w:r>
      <w:r>
        <w:rPr>
          <w:rFonts w:ascii="Times New Roman" w:eastAsia="Times New Roman" w:hAnsi="Times New Roman" w:cs="Times New Roman"/>
          <w:i/>
          <w:sz w:val="24"/>
          <w:szCs w:val="24"/>
        </w:rPr>
        <w:t>Al-Adahi</w:t>
      </w:r>
      <w:r>
        <w:rPr>
          <w:rFonts w:ascii="Times New Roman" w:eastAsia="Times New Roman" w:hAnsi="Times New Roman" w:cs="Times New Roman"/>
          <w:sz w:val="24"/>
          <w:szCs w:val="24"/>
        </w:rPr>
        <w:t>, but after the pivotal decision, rejected allegation only 14% of the time.  In addition, the courts’ acceptance rate of government allegations increased from 48% to 59%.  Finally, the silence rate also increased substantially from 12% to 27%</w:t>
      </w:r>
    </w:p>
    <w:p w:rsidR="006D04A6" w:rsidRPr="002536D4" w:rsidRDefault="00420856" w:rsidP="002536D4">
      <w:pPr>
        <w:tabs>
          <w:tab w:val="left" w:pos="720"/>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2536D4" w:rsidRPr="002536D4">
        <w:rPr>
          <w:rFonts w:ascii="Times New Roman" w:eastAsia="Times New Roman" w:hAnsi="Times New Roman" w:cs="Times New Roman"/>
          <w:b/>
          <w:sz w:val="24"/>
          <w:szCs w:val="24"/>
        </w:rPr>
        <w:t>A.</w:t>
      </w:r>
      <w:r w:rsidR="002536D4" w:rsidRPr="002536D4">
        <w:rPr>
          <w:rFonts w:ascii="Times New Roman" w:eastAsia="Times New Roman" w:hAnsi="Times New Roman" w:cs="Times New Roman"/>
          <w:b/>
          <w:sz w:val="24"/>
          <w:szCs w:val="24"/>
        </w:rPr>
        <w:tab/>
      </w:r>
      <w:r w:rsidR="006D04A6" w:rsidRPr="002536D4">
        <w:rPr>
          <w:rFonts w:ascii="Times New Roman" w:eastAsia="Times New Roman" w:hAnsi="Times New Roman" w:cs="Times New Roman"/>
          <w:b/>
          <w:sz w:val="24"/>
          <w:szCs w:val="24"/>
        </w:rPr>
        <w:t>Hostile Acts</w:t>
      </w:r>
    </w:p>
    <w:p w:rsidR="00AD0574" w:rsidRDefault="00420856" w:rsidP="0042085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22697">
        <w:rPr>
          <w:rFonts w:ascii="Times New Roman" w:eastAsia="Times New Roman" w:hAnsi="Times New Roman" w:cs="Times New Roman"/>
          <w:sz w:val="24"/>
          <w:szCs w:val="24"/>
        </w:rPr>
        <w:t>The government alleged detainees committed hostile acts in 23 out of the 46 cases.  This proved to be a very significant factor in a judge’s decision because, when a judge accepted the allegation as true, the petition was denied in every case:</w:t>
      </w:r>
    </w:p>
    <w:p w:rsidR="00AD0574" w:rsidRPr="00AD0574" w:rsidRDefault="00AD0574" w:rsidP="00C22697">
      <w:pPr>
        <w:tabs>
          <w:tab w:val="left" w:pos="1440"/>
        </w:tabs>
        <w:spacing w:after="240" w:line="240" w:lineRule="auto"/>
        <w:jc w:val="center"/>
        <w:rPr>
          <w:rFonts w:ascii="Times New Roman" w:eastAsia="Times New Roman" w:hAnsi="Times New Roman" w:cs="Times New Roman"/>
          <w:sz w:val="24"/>
          <w:szCs w:val="24"/>
        </w:rPr>
      </w:pPr>
      <w:r w:rsidRPr="00AD0574">
        <w:rPr>
          <w:rFonts w:ascii="Times New Roman" w:eastAsia="Times New Roman" w:hAnsi="Times New Roman" w:cs="Times New Roman"/>
          <w:noProof/>
          <w:sz w:val="24"/>
          <w:szCs w:val="24"/>
        </w:rPr>
        <w:drawing>
          <wp:inline distT="0" distB="0" distL="0" distR="0">
            <wp:extent cx="4021455" cy="2162175"/>
            <wp:effectExtent l="19050" t="0" r="1714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TableGrid"/>
        <w:tblW w:w="0" w:type="auto"/>
        <w:jc w:val="center"/>
        <w:tblLook w:val="04A0" w:firstRow="1" w:lastRow="0" w:firstColumn="1" w:lastColumn="0" w:noHBand="0" w:noVBand="1"/>
      </w:tblPr>
      <w:tblGrid>
        <w:gridCol w:w="1998"/>
        <w:gridCol w:w="2520"/>
        <w:gridCol w:w="2520"/>
        <w:gridCol w:w="2538"/>
      </w:tblGrid>
      <w:tr w:rsidR="00D562E1" w:rsidTr="005053DF">
        <w:trPr>
          <w:jc w:val="center"/>
        </w:trPr>
        <w:tc>
          <w:tcPr>
            <w:tcW w:w="9576" w:type="dxa"/>
            <w:gridSpan w:val="4"/>
            <w:shd w:val="clear" w:color="auto" w:fill="BFBFBF" w:themeFill="background1" w:themeFillShade="BF"/>
          </w:tcPr>
          <w:p w:rsidR="00D562E1" w:rsidRPr="00602964" w:rsidRDefault="00D562E1" w:rsidP="00334759">
            <w:pPr>
              <w:jc w:val="center"/>
              <w:rPr>
                <w:b/>
              </w:rPr>
            </w:pPr>
            <w:r w:rsidRPr="00602964">
              <w:rPr>
                <w:b/>
              </w:rPr>
              <w:t>Hostile Acts</w:t>
            </w:r>
          </w:p>
          <w:p w:rsidR="00D562E1" w:rsidRDefault="00D562E1" w:rsidP="00334759">
            <w:pPr>
              <w:jc w:val="center"/>
            </w:pPr>
            <w:r>
              <w:t>Alleged in 23 out of 46 cases (7 grant, 16 deny)</w:t>
            </w:r>
          </w:p>
        </w:tc>
      </w:tr>
      <w:tr w:rsidR="00D562E1" w:rsidTr="005053DF">
        <w:trPr>
          <w:jc w:val="center"/>
        </w:trPr>
        <w:tc>
          <w:tcPr>
            <w:tcW w:w="1998" w:type="dxa"/>
          </w:tcPr>
          <w:p w:rsidR="00D562E1" w:rsidRDefault="00D562E1" w:rsidP="00334759"/>
        </w:tc>
        <w:tc>
          <w:tcPr>
            <w:tcW w:w="2520" w:type="dxa"/>
          </w:tcPr>
          <w:p w:rsidR="00D562E1" w:rsidRDefault="00D562E1" w:rsidP="00334759">
            <w:r>
              <w:t>Pre-</w:t>
            </w:r>
            <w:r w:rsidRPr="007508FB">
              <w:rPr>
                <w:i/>
              </w:rPr>
              <w:t>Adahi</w:t>
            </w:r>
          </w:p>
          <w:p w:rsidR="007508FB" w:rsidRDefault="007508FB" w:rsidP="00334759">
            <w:r>
              <w:t>16 out of 23</w:t>
            </w:r>
          </w:p>
        </w:tc>
        <w:tc>
          <w:tcPr>
            <w:tcW w:w="2520" w:type="dxa"/>
          </w:tcPr>
          <w:p w:rsidR="00D562E1" w:rsidRDefault="00D562E1" w:rsidP="00334759">
            <w:r>
              <w:t>Post-</w:t>
            </w:r>
            <w:r w:rsidRPr="007508FB">
              <w:rPr>
                <w:i/>
              </w:rPr>
              <w:t>Adahi</w:t>
            </w:r>
          </w:p>
          <w:p w:rsidR="007508FB" w:rsidRDefault="007508FB" w:rsidP="00334759">
            <w:r>
              <w:t>7 out of 23</w:t>
            </w:r>
          </w:p>
        </w:tc>
        <w:tc>
          <w:tcPr>
            <w:tcW w:w="2538" w:type="dxa"/>
          </w:tcPr>
          <w:p w:rsidR="00D562E1" w:rsidRDefault="00D562E1" w:rsidP="00334759">
            <w:r>
              <w:t>Total</w:t>
            </w:r>
          </w:p>
        </w:tc>
      </w:tr>
      <w:tr w:rsidR="00D562E1" w:rsidTr="005053DF">
        <w:trPr>
          <w:jc w:val="center"/>
        </w:trPr>
        <w:tc>
          <w:tcPr>
            <w:tcW w:w="1998" w:type="dxa"/>
          </w:tcPr>
          <w:p w:rsidR="00D562E1" w:rsidRDefault="00D562E1" w:rsidP="00334759">
            <w:r>
              <w:t>Accepted</w:t>
            </w:r>
          </w:p>
        </w:tc>
        <w:tc>
          <w:tcPr>
            <w:tcW w:w="2520" w:type="dxa"/>
          </w:tcPr>
          <w:p w:rsidR="00D562E1" w:rsidRDefault="00D562E1" w:rsidP="00334759">
            <w:r>
              <w:t xml:space="preserve">7 </w:t>
            </w:r>
          </w:p>
          <w:p w:rsidR="00D562E1" w:rsidRDefault="00D562E1" w:rsidP="007508FB">
            <w:r>
              <w:t>Den</w:t>
            </w:r>
            <w:r w:rsidR="007508FB">
              <w:t>y</w:t>
            </w:r>
            <w:r>
              <w:t xml:space="preserve"> all 7</w:t>
            </w:r>
          </w:p>
        </w:tc>
        <w:tc>
          <w:tcPr>
            <w:tcW w:w="2520" w:type="dxa"/>
          </w:tcPr>
          <w:p w:rsidR="00D562E1" w:rsidRDefault="00D562E1" w:rsidP="00334759">
            <w:r>
              <w:t>3</w:t>
            </w:r>
          </w:p>
          <w:p w:rsidR="00D562E1" w:rsidRDefault="00D562E1" w:rsidP="007508FB">
            <w:r>
              <w:t>Den</w:t>
            </w:r>
            <w:r w:rsidR="007508FB">
              <w:t xml:space="preserve">y </w:t>
            </w:r>
            <w:r>
              <w:t>3</w:t>
            </w:r>
          </w:p>
        </w:tc>
        <w:tc>
          <w:tcPr>
            <w:tcW w:w="2538" w:type="dxa"/>
          </w:tcPr>
          <w:p w:rsidR="00D562E1" w:rsidRDefault="00D562E1" w:rsidP="00334759">
            <w:r>
              <w:t>10</w:t>
            </w:r>
          </w:p>
          <w:p w:rsidR="00D562E1" w:rsidRDefault="00D562E1" w:rsidP="007508FB">
            <w:r>
              <w:t>Den</w:t>
            </w:r>
            <w:r w:rsidR="007508FB">
              <w:t>y</w:t>
            </w:r>
            <w:r>
              <w:t xml:space="preserve"> 10</w:t>
            </w:r>
          </w:p>
        </w:tc>
      </w:tr>
      <w:tr w:rsidR="00D562E1" w:rsidTr="005053DF">
        <w:trPr>
          <w:jc w:val="center"/>
        </w:trPr>
        <w:tc>
          <w:tcPr>
            <w:tcW w:w="1998" w:type="dxa"/>
          </w:tcPr>
          <w:p w:rsidR="00D562E1" w:rsidRDefault="00D562E1" w:rsidP="00334759">
            <w:r>
              <w:t>Rejected</w:t>
            </w:r>
          </w:p>
        </w:tc>
        <w:tc>
          <w:tcPr>
            <w:tcW w:w="2520" w:type="dxa"/>
          </w:tcPr>
          <w:p w:rsidR="00D562E1" w:rsidRDefault="00D562E1" w:rsidP="00334759">
            <w:r>
              <w:t>8</w:t>
            </w:r>
          </w:p>
          <w:p w:rsidR="00D562E1" w:rsidRDefault="00D562E1" w:rsidP="007508FB">
            <w:r>
              <w:t>Grant 6/Den</w:t>
            </w:r>
            <w:r w:rsidR="007508FB">
              <w:t>y</w:t>
            </w:r>
            <w:r>
              <w:t xml:space="preserve"> 2</w:t>
            </w:r>
          </w:p>
        </w:tc>
        <w:tc>
          <w:tcPr>
            <w:tcW w:w="2520" w:type="dxa"/>
          </w:tcPr>
          <w:p w:rsidR="00D562E1" w:rsidRDefault="00D562E1" w:rsidP="00334759">
            <w:r>
              <w:t>1</w:t>
            </w:r>
          </w:p>
          <w:p w:rsidR="00D562E1" w:rsidRDefault="00D562E1" w:rsidP="007508FB">
            <w:r>
              <w:t>Den</w:t>
            </w:r>
            <w:r w:rsidR="007508FB">
              <w:t>y</w:t>
            </w:r>
            <w:r>
              <w:t xml:space="preserve"> 1</w:t>
            </w:r>
          </w:p>
        </w:tc>
        <w:tc>
          <w:tcPr>
            <w:tcW w:w="2538" w:type="dxa"/>
          </w:tcPr>
          <w:p w:rsidR="00D562E1" w:rsidRDefault="00D562E1" w:rsidP="00334759">
            <w:r>
              <w:t>9</w:t>
            </w:r>
          </w:p>
          <w:p w:rsidR="00D562E1" w:rsidRDefault="007508FB" w:rsidP="007508FB">
            <w:r>
              <w:t>Grant</w:t>
            </w:r>
            <w:r w:rsidR="00D562E1">
              <w:t xml:space="preserve"> 6/Den</w:t>
            </w:r>
            <w:r>
              <w:t>y</w:t>
            </w:r>
            <w:r w:rsidR="00D562E1">
              <w:t xml:space="preserve"> 3</w:t>
            </w:r>
          </w:p>
        </w:tc>
      </w:tr>
      <w:tr w:rsidR="00D562E1" w:rsidTr="005053DF">
        <w:trPr>
          <w:jc w:val="center"/>
        </w:trPr>
        <w:tc>
          <w:tcPr>
            <w:tcW w:w="1998" w:type="dxa"/>
          </w:tcPr>
          <w:p w:rsidR="00D562E1" w:rsidRDefault="00D562E1" w:rsidP="00334759">
            <w:r>
              <w:t>Silent</w:t>
            </w:r>
          </w:p>
        </w:tc>
        <w:tc>
          <w:tcPr>
            <w:tcW w:w="2520" w:type="dxa"/>
          </w:tcPr>
          <w:p w:rsidR="00D562E1" w:rsidRDefault="00D562E1" w:rsidP="00334759">
            <w:r>
              <w:t>1</w:t>
            </w:r>
          </w:p>
          <w:p w:rsidR="00D562E1" w:rsidRDefault="00D562E1" w:rsidP="007508FB">
            <w:r>
              <w:t>Den</w:t>
            </w:r>
            <w:r w:rsidR="007508FB">
              <w:t>y</w:t>
            </w:r>
            <w:r>
              <w:t xml:space="preserve"> 1</w:t>
            </w:r>
          </w:p>
        </w:tc>
        <w:tc>
          <w:tcPr>
            <w:tcW w:w="2520" w:type="dxa"/>
          </w:tcPr>
          <w:p w:rsidR="00D562E1" w:rsidRDefault="00D562E1" w:rsidP="00334759">
            <w:r>
              <w:t>3</w:t>
            </w:r>
          </w:p>
          <w:p w:rsidR="00D562E1" w:rsidRDefault="00D562E1" w:rsidP="007508FB">
            <w:r>
              <w:t>Grant 1 (</w:t>
            </w:r>
            <w:r w:rsidRPr="00B251F3">
              <w:rPr>
                <w:i/>
              </w:rPr>
              <w:t>Latif</w:t>
            </w:r>
            <w:r>
              <w:t>) /Den</w:t>
            </w:r>
            <w:r w:rsidR="007508FB">
              <w:t>y</w:t>
            </w:r>
            <w:r>
              <w:t xml:space="preserve"> 2</w:t>
            </w:r>
          </w:p>
        </w:tc>
        <w:tc>
          <w:tcPr>
            <w:tcW w:w="2538" w:type="dxa"/>
          </w:tcPr>
          <w:p w:rsidR="00D562E1" w:rsidRDefault="00D562E1" w:rsidP="00334759">
            <w:r>
              <w:t>4</w:t>
            </w:r>
          </w:p>
          <w:p w:rsidR="00D562E1" w:rsidRDefault="00D562E1" w:rsidP="007508FB">
            <w:r>
              <w:t>Grant</w:t>
            </w:r>
            <w:r w:rsidR="007508FB">
              <w:t xml:space="preserve"> </w:t>
            </w:r>
            <w:r>
              <w:t>1/Den</w:t>
            </w:r>
            <w:r w:rsidR="007508FB">
              <w:t>y</w:t>
            </w:r>
            <w:r>
              <w:t xml:space="preserve"> 3</w:t>
            </w:r>
          </w:p>
        </w:tc>
      </w:tr>
    </w:tbl>
    <w:p w:rsidR="00E5150F" w:rsidRDefault="00E5150F" w:rsidP="00E5150F">
      <w:pPr>
        <w:spacing w:after="240" w:line="240" w:lineRule="auto"/>
        <w:jc w:val="both"/>
        <w:rPr>
          <w:rFonts w:ascii="Times New Roman" w:eastAsia="Times New Roman" w:hAnsi="Times New Roman" w:cs="Times New Roman"/>
          <w:sz w:val="24"/>
          <w:szCs w:val="24"/>
        </w:rPr>
      </w:pPr>
    </w:p>
    <w:p w:rsidR="00E5150F" w:rsidRPr="00E5150F" w:rsidRDefault="00E5150F" w:rsidP="00E5150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D5703">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the 16 </w:t>
      </w:r>
      <w:r w:rsidRPr="00ED5703">
        <w:rPr>
          <w:rFonts w:ascii="Times New Roman" w:eastAsia="Times New Roman" w:hAnsi="Times New Roman" w:cs="Times New Roman"/>
          <w:sz w:val="24"/>
          <w:szCs w:val="24"/>
        </w:rPr>
        <w:t xml:space="preserve">cases before </w:t>
      </w:r>
      <w:r w:rsidRPr="00ED5703">
        <w:rPr>
          <w:rFonts w:ascii="Times New Roman" w:eastAsia="Times New Roman" w:hAnsi="Times New Roman" w:cs="Times New Roman"/>
          <w:i/>
          <w:sz w:val="24"/>
          <w:szCs w:val="24"/>
        </w:rPr>
        <w:t>Al-Adahi</w:t>
      </w:r>
      <w:r w:rsidRPr="00ED5703">
        <w:rPr>
          <w:rFonts w:ascii="Times New Roman" w:eastAsia="Times New Roman" w:hAnsi="Times New Roman" w:cs="Times New Roman"/>
          <w:sz w:val="24"/>
          <w:szCs w:val="24"/>
        </w:rPr>
        <w:t xml:space="preserve"> </w:t>
      </w:r>
      <w:r w:rsidRPr="00ED5703">
        <w:rPr>
          <w:rFonts w:ascii="Times New Roman" w:hAnsi="Times New Roman" w:cs="Times New Roman"/>
          <w:sz w:val="24"/>
          <w:szCs w:val="24"/>
        </w:rPr>
        <w:t>where the government alleged a detainee committed hostile acts, the district courts rejected the allegation</w:t>
      </w:r>
      <w:r>
        <w:rPr>
          <w:rFonts w:ascii="Times New Roman" w:hAnsi="Times New Roman" w:cs="Times New Roman"/>
          <w:sz w:val="24"/>
          <w:szCs w:val="24"/>
        </w:rPr>
        <w:t xml:space="preserve"> 8 times or</w:t>
      </w:r>
      <w:r w:rsidRPr="00ED5703">
        <w:rPr>
          <w:rFonts w:ascii="Times New Roman" w:hAnsi="Times New Roman" w:cs="Times New Roman"/>
          <w:sz w:val="24"/>
          <w:szCs w:val="24"/>
        </w:rPr>
        <w:t xml:space="preserve"> 50%.</w:t>
      </w:r>
      <w:r>
        <w:rPr>
          <w:rFonts w:ascii="Times New Roman" w:hAnsi="Times New Roman" w:cs="Times New Roman"/>
          <w:sz w:val="24"/>
          <w:szCs w:val="24"/>
        </w:rPr>
        <w:t xml:space="preserve">  </w:t>
      </w:r>
      <w:r w:rsidRPr="00ED5703">
        <w:rPr>
          <w:rFonts w:ascii="Times New Roman" w:hAnsi="Times New Roman" w:cs="Times New Roman"/>
          <w:sz w:val="24"/>
          <w:szCs w:val="24"/>
        </w:rPr>
        <w:t xml:space="preserve">After </w:t>
      </w:r>
      <w:r w:rsidRPr="00ED5703">
        <w:rPr>
          <w:rFonts w:ascii="Times New Roman" w:hAnsi="Times New Roman" w:cs="Times New Roman"/>
          <w:i/>
          <w:sz w:val="24"/>
          <w:szCs w:val="24"/>
        </w:rPr>
        <w:t>Al-Adahi</w:t>
      </w:r>
      <w:r w:rsidRPr="00ED5703">
        <w:rPr>
          <w:rFonts w:ascii="Times New Roman" w:hAnsi="Times New Roman" w:cs="Times New Roman"/>
          <w:sz w:val="24"/>
          <w:szCs w:val="24"/>
        </w:rPr>
        <w:t>, the courts</w:t>
      </w:r>
      <w:r>
        <w:rPr>
          <w:rFonts w:ascii="Times New Roman" w:hAnsi="Times New Roman" w:cs="Times New Roman"/>
          <w:sz w:val="24"/>
          <w:szCs w:val="24"/>
        </w:rPr>
        <w:t xml:space="preserve"> considered hostile act allegations 7 times and</w:t>
      </w:r>
      <w:r w:rsidRPr="00ED5703">
        <w:rPr>
          <w:rFonts w:ascii="Times New Roman" w:hAnsi="Times New Roman" w:cs="Times New Roman"/>
          <w:sz w:val="24"/>
          <w:szCs w:val="24"/>
        </w:rPr>
        <w:t xml:space="preserve"> rejected the allegation</w:t>
      </w:r>
      <w:r>
        <w:rPr>
          <w:rFonts w:ascii="Times New Roman" w:hAnsi="Times New Roman" w:cs="Times New Roman"/>
          <w:sz w:val="24"/>
          <w:szCs w:val="24"/>
        </w:rPr>
        <w:t xml:space="preserve"> only once, or</w:t>
      </w:r>
      <w:r w:rsidRPr="00ED5703">
        <w:rPr>
          <w:rFonts w:ascii="Times New Roman" w:hAnsi="Times New Roman" w:cs="Times New Roman"/>
          <w:sz w:val="24"/>
          <w:szCs w:val="24"/>
        </w:rPr>
        <w:t xml:space="preserve"> 14%.</w:t>
      </w:r>
      <w:r>
        <w:rPr>
          <w:rFonts w:ascii="Times New Roman" w:eastAsia="Times New Roman" w:hAnsi="Times New Roman" w:cs="Times New Roman"/>
          <w:sz w:val="24"/>
          <w:szCs w:val="24"/>
        </w:rPr>
        <w:t xml:space="preserve">  </w:t>
      </w:r>
      <w:r w:rsidRPr="004A5E53">
        <w:rPr>
          <w:rFonts w:ascii="Times New Roman" w:hAnsi="Times New Roman" w:cs="Times New Roman"/>
          <w:sz w:val="24"/>
          <w:szCs w:val="24"/>
        </w:rPr>
        <w:t>Courts accepted this allegation</w:t>
      </w:r>
      <w:r>
        <w:rPr>
          <w:rFonts w:ascii="Times New Roman" w:hAnsi="Times New Roman" w:cs="Times New Roman"/>
          <w:sz w:val="24"/>
          <w:szCs w:val="24"/>
        </w:rPr>
        <w:t>, however,</w:t>
      </w:r>
      <w:r w:rsidRPr="004A5E53">
        <w:rPr>
          <w:rFonts w:ascii="Times New Roman" w:hAnsi="Times New Roman" w:cs="Times New Roman"/>
          <w:sz w:val="24"/>
          <w:szCs w:val="24"/>
        </w:rPr>
        <w:t xml:space="preserve"> with almost equal frequency before and after </w:t>
      </w:r>
      <w:r>
        <w:rPr>
          <w:rFonts w:ascii="Times New Roman" w:hAnsi="Times New Roman" w:cs="Times New Roman"/>
          <w:i/>
          <w:sz w:val="24"/>
          <w:szCs w:val="24"/>
        </w:rPr>
        <w:t>Al-Adahi</w:t>
      </w:r>
      <w:r w:rsidRPr="004A5E53">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r>
        <w:rPr>
          <w:rFonts w:ascii="Times New Roman" w:eastAsia="Times New Roman" w:hAnsi="Times New Roman" w:cs="Times New Roman"/>
          <w:sz w:val="24"/>
          <w:szCs w:val="24"/>
        </w:rPr>
        <w:t xml:space="preserve">  </w:t>
      </w:r>
      <w:r>
        <w:rPr>
          <w:rFonts w:ascii="Times New Roman" w:hAnsi="Times New Roman" w:cs="Times New Roman"/>
          <w:sz w:val="24"/>
          <w:szCs w:val="24"/>
        </w:rPr>
        <w:t>Finally,</w:t>
      </w:r>
      <w:r w:rsidRPr="004A5E53">
        <w:rPr>
          <w:rFonts w:ascii="Times New Roman" w:hAnsi="Times New Roman" w:cs="Times New Roman"/>
          <w:sz w:val="24"/>
          <w:szCs w:val="24"/>
        </w:rPr>
        <w:t xml:space="preserve"> before </w:t>
      </w:r>
      <w:r>
        <w:rPr>
          <w:rFonts w:ascii="Times New Roman" w:hAnsi="Times New Roman" w:cs="Times New Roman"/>
          <w:i/>
          <w:sz w:val="24"/>
          <w:szCs w:val="24"/>
        </w:rPr>
        <w:t>Al-Adahi</w:t>
      </w:r>
      <w:r w:rsidRPr="004A5E53">
        <w:rPr>
          <w:rFonts w:ascii="Times New Roman" w:hAnsi="Times New Roman" w:cs="Times New Roman"/>
          <w:sz w:val="24"/>
          <w:szCs w:val="24"/>
        </w:rPr>
        <w:t>, the district courts remained silent about the weight of the allegation only 6% of the time</w:t>
      </w:r>
      <w:r>
        <w:rPr>
          <w:rFonts w:ascii="Times New Roman" w:hAnsi="Times New Roman" w:cs="Times New Roman"/>
          <w:sz w:val="24"/>
          <w:szCs w:val="24"/>
        </w:rPr>
        <w:t xml:space="preserve"> (1 out of 16)</w:t>
      </w:r>
      <w:r w:rsidRPr="004A5E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5E53">
        <w:rPr>
          <w:rFonts w:ascii="Times New Roman" w:hAnsi="Times New Roman" w:cs="Times New Roman"/>
          <w:sz w:val="24"/>
          <w:szCs w:val="24"/>
        </w:rPr>
        <w:t xml:space="preserve">After </w:t>
      </w:r>
      <w:r>
        <w:rPr>
          <w:rFonts w:ascii="Times New Roman" w:hAnsi="Times New Roman" w:cs="Times New Roman"/>
          <w:i/>
          <w:sz w:val="24"/>
          <w:szCs w:val="24"/>
        </w:rPr>
        <w:t>Al-Adahi</w:t>
      </w:r>
      <w:r w:rsidRPr="004A5E53">
        <w:rPr>
          <w:rFonts w:ascii="Times New Roman" w:hAnsi="Times New Roman" w:cs="Times New Roman"/>
          <w:sz w:val="24"/>
          <w:szCs w:val="24"/>
        </w:rPr>
        <w:t>, the district courts remained silent 43% of the time</w:t>
      </w:r>
      <w:r>
        <w:rPr>
          <w:rFonts w:ascii="Times New Roman" w:hAnsi="Times New Roman" w:cs="Times New Roman"/>
          <w:sz w:val="24"/>
          <w:szCs w:val="24"/>
        </w:rPr>
        <w:t xml:space="preserve"> (3 out of 7)</w:t>
      </w:r>
      <w:r w:rsidRPr="004A5E53">
        <w:rPr>
          <w:rFonts w:ascii="Times New Roman" w:hAnsi="Times New Roman" w:cs="Times New Roman"/>
          <w:sz w:val="24"/>
          <w:szCs w:val="24"/>
        </w:rPr>
        <w:t>.</w:t>
      </w:r>
    </w:p>
    <w:p w:rsidR="006D04A6" w:rsidRPr="00E5150F" w:rsidRDefault="00705642" w:rsidP="00E5150F">
      <w:pPr>
        <w:spacing w:after="240" w:line="240" w:lineRule="auto"/>
        <w:jc w:val="center"/>
        <w:rPr>
          <w:rFonts w:ascii="Times New Roman" w:eastAsia="Times New Roman" w:hAnsi="Times New Roman" w:cs="Times New Roman"/>
          <w:sz w:val="24"/>
          <w:szCs w:val="24"/>
        </w:rPr>
      </w:pPr>
      <w:r w:rsidRPr="00705642">
        <w:rPr>
          <w:rFonts w:ascii="Times New Roman" w:eastAsia="Times New Roman" w:hAnsi="Times New Roman" w:cs="Times New Roman"/>
          <w:noProof/>
          <w:sz w:val="24"/>
          <w:szCs w:val="24"/>
        </w:rPr>
        <w:drawing>
          <wp:inline distT="0" distB="0" distL="0" distR="0">
            <wp:extent cx="2594492" cy="2381693"/>
            <wp:effectExtent l="19050" t="0" r="15358"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92423">
        <w:rPr>
          <w:rFonts w:ascii="Times New Roman" w:eastAsia="Times New Roman" w:hAnsi="Times New Roman" w:cs="Times New Roman"/>
          <w:sz w:val="24"/>
          <w:szCs w:val="24"/>
        </w:rPr>
        <w:t xml:space="preserve">   </w:t>
      </w:r>
      <w:r w:rsidRPr="00705642">
        <w:rPr>
          <w:rFonts w:ascii="Times New Roman" w:eastAsia="Times New Roman" w:hAnsi="Times New Roman" w:cs="Times New Roman"/>
          <w:noProof/>
          <w:sz w:val="24"/>
          <w:szCs w:val="24"/>
        </w:rPr>
        <w:drawing>
          <wp:inline distT="0" distB="0" distL="0" distR="0">
            <wp:extent cx="2484991" cy="2349795"/>
            <wp:effectExtent l="19050" t="0" r="10559"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508FB" w:rsidRPr="00D92423" w:rsidRDefault="006D04A6" w:rsidP="00D92423">
      <w:pPr>
        <w:tabs>
          <w:tab w:val="left" w:pos="720"/>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D92423" w:rsidRPr="00D92423">
        <w:rPr>
          <w:rFonts w:ascii="Times New Roman" w:eastAsia="Times New Roman" w:hAnsi="Times New Roman" w:cs="Times New Roman"/>
          <w:b/>
          <w:sz w:val="24"/>
          <w:szCs w:val="24"/>
        </w:rPr>
        <w:t>B.</w:t>
      </w:r>
      <w:r w:rsidR="00D92423" w:rsidRPr="00D92423">
        <w:rPr>
          <w:rFonts w:ascii="Times New Roman" w:eastAsia="Times New Roman" w:hAnsi="Times New Roman" w:cs="Times New Roman"/>
          <w:b/>
          <w:sz w:val="24"/>
          <w:szCs w:val="24"/>
        </w:rPr>
        <w:tab/>
      </w:r>
      <w:r w:rsidRPr="00D92423">
        <w:rPr>
          <w:rFonts w:ascii="Times New Roman" w:eastAsia="Times New Roman" w:hAnsi="Times New Roman" w:cs="Times New Roman"/>
          <w:b/>
          <w:sz w:val="24"/>
          <w:szCs w:val="24"/>
        </w:rPr>
        <w:t>Guesthouses</w:t>
      </w:r>
    </w:p>
    <w:p w:rsidR="0087326C" w:rsidRDefault="0087326C" w:rsidP="0087326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150F">
        <w:rPr>
          <w:rFonts w:ascii="Times New Roman" w:eastAsia="Times New Roman" w:hAnsi="Times New Roman" w:cs="Times New Roman"/>
          <w:sz w:val="24"/>
          <w:szCs w:val="24"/>
        </w:rPr>
        <w:t xml:space="preserve">The government alleged </w:t>
      </w:r>
      <w:r>
        <w:rPr>
          <w:rFonts w:ascii="Times New Roman" w:eastAsia="Times New Roman" w:hAnsi="Times New Roman" w:cs="Times New Roman"/>
          <w:sz w:val="24"/>
          <w:szCs w:val="24"/>
        </w:rPr>
        <w:t xml:space="preserve">that </w:t>
      </w:r>
      <w:r w:rsidR="00E5150F">
        <w:rPr>
          <w:rFonts w:ascii="Times New Roman" w:eastAsia="Times New Roman" w:hAnsi="Times New Roman" w:cs="Times New Roman"/>
          <w:sz w:val="24"/>
          <w:szCs w:val="24"/>
        </w:rPr>
        <w:t xml:space="preserve">detainees </w:t>
      </w:r>
      <w:r>
        <w:rPr>
          <w:rFonts w:ascii="Times New Roman" w:eastAsia="Times New Roman" w:hAnsi="Times New Roman" w:cs="Times New Roman"/>
          <w:sz w:val="24"/>
          <w:szCs w:val="24"/>
        </w:rPr>
        <w:t>stayed in guesthouses in 27</w:t>
      </w:r>
      <w:r w:rsidR="00E5150F">
        <w:rPr>
          <w:rFonts w:ascii="Times New Roman" w:eastAsia="Times New Roman" w:hAnsi="Times New Roman" w:cs="Times New Roman"/>
          <w:sz w:val="24"/>
          <w:szCs w:val="24"/>
        </w:rPr>
        <w:t xml:space="preserve"> of the 46 cases.  This proved to be a</w:t>
      </w:r>
      <w:r>
        <w:rPr>
          <w:rFonts w:ascii="Times New Roman" w:eastAsia="Times New Roman" w:hAnsi="Times New Roman" w:cs="Times New Roman"/>
          <w:sz w:val="24"/>
          <w:szCs w:val="24"/>
        </w:rPr>
        <w:t>nother</w:t>
      </w:r>
      <w:r w:rsidR="00E5150F">
        <w:rPr>
          <w:rFonts w:ascii="Times New Roman" w:eastAsia="Times New Roman" w:hAnsi="Times New Roman" w:cs="Times New Roman"/>
          <w:sz w:val="24"/>
          <w:szCs w:val="24"/>
        </w:rPr>
        <w:t xml:space="preserve"> significant factor in a judge’s decision because, when a judge accepted the allegation as true, the petition was denied in</w:t>
      </w:r>
      <w:r>
        <w:rPr>
          <w:rFonts w:ascii="Times New Roman" w:eastAsia="Times New Roman" w:hAnsi="Times New Roman" w:cs="Times New Roman"/>
          <w:sz w:val="24"/>
          <w:szCs w:val="24"/>
        </w:rPr>
        <w:t xml:space="preserve"> almost</w:t>
      </w:r>
      <w:r w:rsidR="00E5150F">
        <w:rPr>
          <w:rFonts w:ascii="Times New Roman" w:eastAsia="Times New Roman" w:hAnsi="Times New Roman" w:cs="Times New Roman"/>
          <w:sz w:val="24"/>
          <w:szCs w:val="24"/>
        </w:rPr>
        <w:t xml:space="preserve"> every case:</w:t>
      </w:r>
    </w:p>
    <w:p w:rsidR="005053DF" w:rsidRPr="005053DF" w:rsidRDefault="005053DF" w:rsidP="0087326C">
      <w:pPr>
        <w:tabs>
          <w:tab w:val="left" w:pos="1440"/>
        </w:tabs>
        <w:spacing w:after="240" w:line="240" w:lineRule="auto"/>
        <w:jc w:val="center"/>
        <w:rPr>
          <w:rFonts w:ascii="Times New Roman" w:eastAsia="Times New Roman" w:hAnsi="Times New Roman" w:cs="Times New Roman"/>
          <w:sz w:val="24"/>
          <w:szCs w:val="24"/>
        </w:rPr>
      </w:pPr>
      <w:r w:rsidRPr="005053DF">
        <w:rPr>
          <w:rFonts w:ascii="Times New Roman" w:eastAsia="Times New Roman" w:hAnsi="Times New Roman" w:cs="Times New Roman"/>
          <w:noProof/>
          <w:sz w:val="24"/>
          <w:szCs w:val="24"/>
        </w:rPr>
        <w:drawing>
          <wp:inline distT="0" distB="0" distL="0" distR="0">
            <wp:extent cx="4159885" cy="2533650"/>
            <wp:effectExtent l="19050" t="0" r="12065"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TableGrid"/>
        <w:tblW w:w="0" w:type="auto"/>
        <w:tblLook w:val="04A0" w:firstRow="1" w:lastRow="0" w:firstColumn="1" w:lastColumn="0" w:noHBand="0" w:noVBand="1"/>
      </w:tblPr>
      <w:tblGrid>
        <w:gridCol w:w="1998"/>
        <w:gridCol w:w="2520"/>
        <w:gridCol w:w="2520"/>
        <w:gridCol w:w="2538"/>
      </w:tblGrid>
      <w:tr w:rsidR="007508FB" w:rsidTr="007508FB">
        <w:tc>
          <w:tcPr>
            <w:tcW w:w="9576" w:type="dxa"/>
            <w:gridSpan w:val="4"/>
            <w:shd w:val="clear" w:color="auto" w:fill="BFBFBF" w:themeFill="background1" w:themeFillShade="BF"/>
          </w:tcPr>
          <w:p w:rsidR="007508FB" w:rsidRPr="00602964" w:rsidRDefault="007508FB" w:rsidP="007508FB">
            <w:pPr>
              <w:jc w:val="center"/>
              <w:rPr>
                <w:b/>
              </w:rPr>
            </w:pPr>
            <w:r>
              <w:rPr>
                <w:b/>
              </w:rPr>
              <w:t>Guesthouses</w:t>
            </w:r>
          </w:p>
          <w:p w:rsidR="007508FB" w:rsidRDefault="007508FB" w:rsidP="007508FB">
            <w:pPr>
              <w:jc w:val="center"/>
            </w:pPr>
            <w:r>
              <w:t>Alleged in 27 out of 46 cases (12 grant, 15 deny)</w:t>
            </w:r>
          </w:p>
        </w:tc>
      </w:tr>
      <w:tr w:rsidR="007508FB" w:rsidTr="007508FB">
        <w:tc>
          <w:tcPr>
            <w:tcW w:w="1998" w:type="dxa"/>
          </w:tcPr>
          <w:p w:rsidR="007508FB" w:rsidRDefault="007508FB" w:rsidP="007508FB"/>
        </w:tc>
        <w:tc>
          <w:tcPr>
            <w:tcW w:w="2520" w:type="dxa"/>
          </w:tcPr>
          <w:p w:rsidR="007508FB" w:rsidRDefault="007508FB" w:rsidP="007508FB">
            <w:r>
              <w:t>Pre-</w:t>
            </w:r>
            <w:r w:rsidRPr="007508FB">
              <w:rPr>
                <w:i/>
              </w:rPr>
              <w:t>Adahi</w:t>
            </w:r>
          </w:p>
          <w:p w:rsidR="007508FB" w:rsidRDefault="007508FB" w:rsidP="007508FB">
            <w:r>
              <w:t>21 out of 27</w:t>
            </w:r>
          </w:p>
        </w:tc>
        <w:tc>
          <w:tcPr>
            <w:tcW w:w="2520" w:type="dxa"/>
          </w:tcPr>
          <w:p w:rsidR="007508FB" w:rsidRDefault="007508FB" w:rsidP="007508FB">
            <w:r>
              <w:t>Post-</w:t>
            </w:r>
            <w:r w:rsidRPr="007508FB">
              <w:rPr>
                <w:i/>
              </w:rPr>
              <w:t>Adahi</w:t>
            </w:r>
          </w:p>
          <w:p w:rsidR="007508FB" w:rsidRDefault="007508FB" w:rsidP="007508FB">
            <w:r>
              <w:t>6 out of 27</w:t>
            </w:r>
          </w:p>
        </w:tc>
        <w:tc>
          <w:tcPr>
            <w:tcW w:w="2538" w:type="dxa"/>
          </w:tcPr>
          <w:p w:rsidR="007508FB" w:rsidRDefault="007508FB" w:rsidP="007508FB">
            <w:r>
              <w:t>Total</w:t>
            </w:r>
          </w:p>
        </w:tc>
      </w:tr>
      <w:tr w:rsidR="007508FB" w:rsidTr="007508FB">
        <w:tc>
          <w:tcPr>
            <w:tcW w:w="1998" w:type="dxa"/>
          </w:tcPr>
          <w:p w:rsidR="007508FB" w:rsidRDefault="007508FB" w:rsidP="007508FB">
            <w:r>
              <w:t>Accepted</w:t>
            </w:r>
          </w:p>
        </w:tc>
        <w:tc>
          <w:tcPr>
            <w:tcW w:w="2520" w:type="dxa"/>
          </w:tcPr>
          <w:p w:rsidR="007508FB" w:rsidRDefault="007508FB" w:rsidP="007508FB">
            <w:r>
              <w:t xml:space="preserve">10 </w:t>
            </w:r>
          </w:p>
          <w:p w:rsidR="007508FB" w:rsidRDefault="007508FB" w:rsidP="007508FB">
            <w:r>
              <w:t>Grant 3/Deny 7</w:t>
            </w:r>
          </w:p>
        </w:tc>
        <w:tc>
          <w:tcPr>
            <w:tcW w:w="2520" w:type="dxa"/>
          </w:tcPr>
          <w:p w:rsidR="007508FB" w:rsidRDefault="007508FB" w:rsidP="007508FB">
            <w:r>
              <w:t>5</w:t>
            </w:r>
          </w:p>
          <w:p w:rsidR="007508FB" w:rsidRDefault="007508FB" w:rsidP="007508FB">
            <w:r>
              <w:t>Deny 5</w:t>
            </w:r>
          </w:p>
        </w:tc>
        <w:tc>
          <w:tcPr>
            <w:tcW w:w="2538" w:type="dxa"/>
          </w:tcPr>
          <w:p w:rsidR="007508FB" w:rsidRDefault="007508FB" w:rsidP="007508FB">
            <w:r>
              <w:t>15</w:t>
            </w:r>
          </w:p>
          <w:p w:rsidR="007508FB" w:rsidRDefault="007508FB" w:rsidP="007508FB">
            <w:r>
              <w:t>Grant 3/Deny 12</w:t>
            </w:r>
          </w:p>
        </w:tc>
      </w:tr>
      <w:tr w:rsidR="007508FB" w:rsidTr="007508FB">
        <w:tc>
          <w:tcPr>
            <w:tcW w:w="1998" w:type="dxa"/>
          </w:tcPr>
          <w:p w:rsidR="007508FB" w:rsidRDefault="007508FB" w:rsidP="007508FB">
            <w:r>
              <w:t>Rejected</w:t>
            </w:r>
          </w:p>
        </w:tc>
        <w:tc>
          <w:tcPr>
            <w:tcW w:w="2520" w:type="dxa"/>
          </w:tcPr>
          <w:p w:rsidR="007508FB" w:rsidRDefault="007508FB" w:rsidP="007508FB">
            <w:r>
              <w:t>9</w:t>
            </w:r>
          </w:p>
          <w:p w:rsidR="007508FB" w:rsidRDefault="007508FB" w:rsidP="007508FB">
            <w:r>
              <w:t>Grant 9</w:t>
            </w:r>
          </w:p>
        </w:tc>
        <w:tc>
          <w:tcPr>
            <w:tcW w:w="2520" w:type="dxa"/>
          </w:tcPr>
          <w:p w:rsidR="007508FB" w:rsidRDefault="007508FB" w:rsidP="007508FB">
            <w:r>
              <w:t>0</w:t>
            </w:r>
          </w:p>
          <w:p w:rsidR="007508FB" w:rsidRDefault="007508FB" w:rsidP="007508FB"/>
        </w:tc>
        <w:tc>
          <w:tcPr>
            <w:tcW w:w="2538" w:type="dxa"/>
          </w:tcPr>
          <w:p w:rsidR="007508FB" w:rsidRDefault="007508FB" w:rsidP="007508FB">
            <w:r>
              <w:t>9</w:t>
            </w:r>
          </w:p>
          <w:p w:rsidR="007508FB" w:rsidRDefault="007508FB" w:rsidP="007508FB">
            <w:r>
              <w:t>Deny 9</w:t>
            </w:r>
          </w:p>
        </w:tc>
      </w:tr>
      <w:tr w:rsidR="007508FB" w:rsidTr="007508FB">
        <w:tc>
          <w:tcPr>
            <w:tcW w:w="1998" w:type="dxa"/>
          </w:tcPr>
          <w:p w:rsidR="007508FB" w:rsidRDefault="007508FB" w:rsidP="007508FB">
            <w:r>
              <w:t>Silent</w:t>
            </w:r>
          </w:p>
        </w:tc>
        <w:tc>
          <w:tcPr>
            <w:tcW w:w="2520" w:type="dxa"/>
          </w:tcPr>
          <w:p w:rsidR="007508FB" w:rsidRDefault="007508FB" w:rsidP="007508FB">
            <w:r>
              <w:t>2</w:t>
            </w:r>
          </w:p>
          <w:p w:rsidR="007508FB" w:rsidRDefault="007508FB" w:rsidP="007508FB">
            <w:r>
              <w:t>Deny 2</w:t>
            </w:r>
          </w:p>
        </w:tc>
        <w:tc>
          <w:tcPr>
            <w:tcW w:w="2520" w:type="dxa"/>
          </w:tcPr>
          <w:p w:rsidR="007508FB" w:rsidRDefault="007508FB" w:rsidP="007508FB">
            <w:r>
              <w:t>1</w:t>
            </w:r>
          </w:p>
          <w:p w:rsidR="007508FB" w:rsidRDefault="007508FB" w:rsidP="007508FB">
            <w:r>
              <w:t>Deny 1</w:t>
            </w:r>
          </w:p>
        </w:tc>
        <w:tc>
          <w:tcPr>
            <w:tcW w:w="2538" w:type="dxa"/>
          </w:tcPr>
          <w:p w:rsidR="007508FB" w:rsidRDefault="007508FB" w:rsidP="007508FB">
            <w:r>
              <w:t>3</w:t>
            </w:r>
          </w:p>
          <w:p w:rsidR="007508FB" w:rsidRDefault="007508FB" w:rsidP="007508FB">
            <w:r>
              <w:t>Deny 3</w:t>
            </w:r>
          </w:p>
        </w:tc>
      </w:tr>
    </w:tbl>
    <w:p w:rsidR="007508FB" w:rsidRPr="0087326C" w:rsidRDefault="0087326C" w:rsidP="0087326C">
      <w:pPr>
        <w:spacing w:after="24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B6404D">
        <w:rPr>
          <w:rFonts w:ascii="Times New Roman" w:hAnsi="Times New Roman" w:cs="Times New Roman"/>
          <w:sz w:val="24"/>
          <w:szCs w:val="24"/>
        </w:rPr>
        <w:t xml:space="preserve">In the 21 cases before </w:t>
      </w:r>
      <w:r w:rsidRPr="00B6404D">
        <w:rPr>
          <w:rFonts w:ascii="Times New Roman" w:hAnsi="Times New Roman" w:cs="Times New Roman"/>
          <w:i/>
          <w:sz w:val="24"/>
          <w:szCs w:val="24"/>
        </w:rPr>
        <w:t>Al-Adahi</w:t>
      </w:r>
      <w:r w:rsidRPr="00B6404D">
        <w:rPr>
          <w:rFonts w:ascii="Times New Roman" w:hAnsi="Times New Roman" w:cs="Times New Roman"/>
          <w:sz w:val="24"/>
          <w:szCs w:val="24"/>
        </w:rPr>
        <w:t xml:space="preserve"> where the government alleged</w:t>
      </w:r>
      <w:r>
        <w:rPr>
          <w:rFonts w:ascii="Times New Roman" w:hAnsi="Times New Roman" w:cs="Times New Roman"/>
          <w:sz w:val="24"/>
          <w:szCs w:val="24"/>
        </w:rPr>
        <w:t xml:space="preserve"> that</w:t>
      </w:r>
      <w:r w:rsidRPr="00B6404D">
        <w:rPr>
          <w:rFonts w:ascii="Times New Roman" w:hAnsi="Times New Roman" w:cs="Times New Roman"/>
          <w:sz w:val="24"/>
          <w:szCs w:val="24"/>
        </w:rPr>
        <w:t xml:space="preserve"> a detainee stayed at a guesthouse, the district courts rejected the allegation 9 times or 43%.  All 9 of the petitions were granted.  After </w:t>
      </w:r>
      <w:r w:rsidRPr="00B6404D">
        <w:rPr>
          <w:rFonts w:ascii="Times New Roman" w:hAnsi="Times New Roman" w:cs="Times New Roman"/>
          <w:i/>
          <w:sz w:val="24"/>
          <w:szCs w:val="24"/>
        </w:rPr>
        <w:t>Al-Adahi</w:t>
      </w:r>
      <w:r w:rsidRPr="00B6404D">
        <w:rPr>
          <w:rFonts w:ascii="Times New Roman" w:hAnsi="Times New Roman" w:cs="Times New Roman"/>
          <w:sz w:val="24"/>
          <w:szCs w:val="24"/>
        </w:rPr>
        <w:t>, the courts considered the allegation 6 times and never rejected it.</w:t>
      </w:r>
      <w:r>
        <w:rPr>
          <w:rFonts w:ascii="Times New Roman" w:hAnsi="Times New Roman" w:cs="Times New Roman"/>
          <w:sz w:val="24"/>
          <w:szCs w:val="24"/>
        </w:rPr>
        <w:t xml:space="preserve">  </w:t>
      </w:r>
      <w:r w:rsidRPr="004A5E53">
        <w:rPr>
          <w:rFonts w:ascii="Times New Roman" w:hAnsi="Times New Roman" w:cs="Times New Roman"/>
          <w:sz w:val="24"/>
          <w:szCs w:val="24"/>
        </w:rPr>
        <w:t xml:space="preserve">In </w:t>
      </w:r>
      <w:r>
        <w:rPr>
          <w:rFonts w:ascii="Times New Roman" w:hAnsi="Times New Roman" w:cs="Times New Roman"/>
          <w:sz w:val="24"/>
          <w:szCs w:val="24"/>
        </w:rPr>
        <w:t>pre-</w:t>
      </w:r>
      <w:r>
        <w:rPr>
          <w:rFonts w:ascii="Times New Roman" w:hAnsi="Times New Roman" w:cs="Times New Roman"/>
          <w:i/>
          <w:sz w:val="24"/>
          <w:szCs w:val="24"/>
        </w:rPr>
        <w:t>Al-Adahi</w:t>
      </w:r>
      <w:r w:rsidRPr="004A5E53">
        <w:rPr>
          <w:rFonts w:ascii="Times New Roman" w:hAnsi="Times New Roman" w:cs="Times New Roman"/>
          <w:sz w:val="24"/>
          <w:szCs w:val="24"/>
        </w:rPr>
        <w:t xml:space="preserve"> </w:t>
      </w:r>
      <w:r>
        <w:rPr>
          <w:rFonts w:ascii="Times New Roman" w:hAnsi="Times New Roman" w:cs="Times New Roman"/>
          <w:sz w:val="24"/>
          <w:szCs w:val="24"/>
        </w:rPr>
        <w:t>cases</w:t>
      </w:r>
      <w:r w:rsidRPr="004A5E53">
        <w:rPr>
          <w:rFonts w:ascii="Times New Roman" w:hAnsi="Times New Roman" w:cs="Times New Roman"/>
          <w:sz w:val="24"/>
          <w:szCs w:val="24"/>
        </w:rPr>
        <w:t>, the district courts accepted the allegation as bearing on its ultimate decision</w:t>
      </w:r>
      <w:r>
        <w:rPr>
          <w:rFonts w:ascii="Times New Roman" w:hAnsi="Times New Roman" w:cs="Times New Roman"/>
          <w:sz w:val="24"/>
          <w:szCs w:val="24"/>
        </w:rPr>
        <w:t xml:space="preserve"> in 10 of the 21 instances or</w:t>
      </w:r>
      <w:r w:rsidRPr="004A5E53">
        <w:rPr>
          <w:rFonts w:ascii="Times New Roman" w:hAnsi="Times New Roman" w:cs="Times New Roman"/>
          <w:sz w:val="24"/>
          <w:szCs w:val="24"/>
        </w:rPr>
        <w:t xml:space="preserve"> 48% of the time.</w:t>
      </w:r>
      <w:r>
        <w:rPr>
          <w:rFonts w:ascii="Times New Roman" w:hAnsi="Times New Roman" w:cs="Times New Roman"/>
          <w:sz w:val="24"/>
          <w:szCs w:val="24"/>
        </w:rPr>
        <w:t xml:space="preserve"> </w:t>
      </w:r>
      <w:r w:rsidRPr="004A5E53">
        <w:rPr>
          <w:rFonts w:ascii="Times New Roman" w:hAnsi="Times New Roman" w:cs="Times New Roman"/>
          <w:sz w:val="24"/>
          <w:szCs w:val="24"/>
        </w:rPr>
        <w:t xml:space="preserve"> This figure rose to 83% </w:t>
      </w:r>
      <w:r>
        <w:rPr>
          <w:rFonts w:ascii="Times New Roman" w:hAnsi="Times New Roman" w:cs="Times New Roman"/>
          <w:sz w:val="24"/>
          <w:szCs w:val="24"/>
        </w:rPr>
        <w:t xml:space="preserve">(5 out of 6 times) </w:t>
      </w:r>
      <w:r w:rsidRPr="004A5E53">
        <w:rPr>
          <w:rFonts w:ascii="Times New Roman" w:hAnsi="Times New Roman" w:cs="Times New Roman"/>
          <w:sz w:val="24"/>
          <w:szCs w:val="24"/>
        </w:rPr>
        <w:t xml:space="preserve">in the cases after </w:t>
      </w:r>
      <w:r>
        <w:rPr>
          <w:rFonts w:ascii="Times New Roman" w:hAnsi="Times New Roman" w:cs="Times New Roman"/>
          <w:i/>
          <w:sz w:val="24"/>
          <w:szCs w:val="24"/>
        </w:rPr>
        <w:t>Al-Adahi</w:t>
      </w:r>
      <w:r>
        <w:rPr>
          <w:rFonts w:ascii="Times New Roman" w:hAnsi="Times New Roman" w:cs="Times New Roman"/>
          <w:sz w:val="24"/>
          <w:szCs w:val="24"/>
        </w:rPr>
        <w:t xml:space="preserve">.  Finally, </w:t>
      </w:r>
      <w:r w:rsidRPr="004A5E53">
        <w:rPr>
          <w:rFonts w:ascii="Times New Roman" w:hAnsi="Times New Roman" w:cs="Times New Roman"/>
          <w:sz w:val="24"/>
          <w:szCs w:val="24"/>
        </w:rPr>
        <w:t>district courts remained silent 10% of the time</w:t>
      </w:r>
      <w:r>
        <w:rPr>
          <w:rFonts w:ascii="Times New Roman" w:hAnsi="Times New Roman" w:cs="Times New Roman"/>
          <w:sz w:val="24"/>
          <w:szCs w:val="24"/>
        </w:rPr>
        <w:t xml:space="preserve"> (2 out of 21) before </w:t>
      </w:r>
      <w:r>
        <w:rPr>
          <w:rFonts w:ascii="Times New Roman" w:hAnsi="Times New Roman" w:cs="Times New Roman"/>
          <w:i/>
          <w:sz w:val="24"/>
          <w:szCs w:val="24"/>
        </w:rPr>
        <w:t>Al-Adahi</w:t>
      </w:r>
      <w:r>
        <w:rPr>
          <w:rFonts w:ascii="Times New Roman" w:hAnsi="Times New Roman" w:cs="Times New Roman"/>
          <w:sz w:val="24"/>
          <w:szCs w:val="24"/>
        </w:rPr>
        <w:t xml:space="preserve">, and </w:t>
      </w:r>
      <w:r w:rsidRPr="004A5E53">
        <w:rPr>
          <w:rFonts w:ascii="Times New Roman" w:hAnsi="Times New Roman" w:cs="Times New Roman"/>
          <w:sz w:val="24"/>
          <w:szCs w:val="24"/>
        </w:rPr>
        <w:t>17% of the time</w:t>
      </w:r>
      <w:r>
        <w:rPr>
          <w:rFonts w:ascii="Times New Roman" w:hAnsi="Times New Roman" w:cs="Times New Roman"/>
          <w:sz w:val="24"/>
          <w:szCs w:val="24"/>
        </w:rPr>
        <w:t xml:space="preserve"> (1 out of 6) after</w:t>
      </w:r>
      <w:r w:rsidRPr="004A5E53">
        <w:rPr>
          <w:rFonts w:ascii="Times New Roman" w:hAnsi="Times New Roman" w:cs="Times New Roman"/>
          <w:sz w:val="24"/>
          <w:szCs w:val="24"/>
        </w:rPr>
        <w:t>.</w:t>
      </w:r>
    </w:p>
    <w:p w:rsidR="006D04A6" w:rsidRPr="0087326C" w:rsidRDefault="00705642" w:rsidP="0087326C">
      <w:pPr>
        <w:spacing w:after="240" w:line="240" w:lineRule="auto"/>
        <w:jc w:val="center"/>
        <w:rPr>
          <w:rFonts w:ascii="Times New Roman" w:eastAsia="Times New Roman" w:hAnsi="Times New Roman" w:cs="Times New Roman"/>
          <w:sz w:val="24"/>
          <w:szCs w:val="24"/>
        </w:rPr>
      </w:pPr>
      <w:r>
        <w:rPr>
          <w:noProof/>
        </w:rPr>
        <w:drawing>
          <wp:inline distT="0" distB="0" distL="0" distR="0">
            <wp:extent cx="2766680" cy="2264735"/>
            <wp:effectExtent l="19050" t="0" r="14620" b="2215"/>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62698">
        <w:rPr>
          <w:rFonts w:ascii="Times New Roman" w:eastAsia="Times New Roman" w:hAnsi="Times New Roman" w:cs="Times New Roman"/>
          <w:sz w:val="24"/>
          <w:szCs w:val="24"/>
        </w:rPr>
        <w:t xml:space="preserve">    </w:t>
      </w:r>
      <w:r>
        <w:rPr>
          <w:noProof/>
        </w:rPr>
        <w:drawing>
          <wp:inline distT="0" distB="0" distL="0" distR="0">
            <wp:extent cx="2655585" cy="2264735"/>
            <wp:effectExtent l="19050" t="0" r="11415" b="2215"/>
            <wp:docPr id="1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D04A6" w:rsidRPr="00162698" w:rsidRDefault="006D04A6" w:rsidP="00162698">
      <w:pPr>
        <w:tabs>
          <w:tab w:val="left" w:pos="720"/>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162698" w:rsidRPr="00162698">
        <w:rPr>
          <w:rFonts w:ascii="Times New Roman" w:eastAsia="Times New Roman" w:hAnsi="Times New Roman" w:cs="Times New Roman"/>
          <w:b/>
          <w:sz w:val="24"/>
          <w:szCs w:val="24"/>
        </w:rPr>
        <w:t>C.</w:t>
      </w:r>
      <w:r w:rsidR="00162698" w:rsidRPr="00162698">
        <w:rPr>
          <w:rFonts w:ascii="Times New Roman" w:eastAsia="Times New Roman" w:hAnsi="Times New Roman" w:cs="Times New Roman"/>
          <w:b/>
          <w:sz w:val="24"/>
          <w:szCs w:val="24"/>
        </w:rPr>
        <w:tab/>
      </w:r>
      <w:r w:rsidRPr="00162698">
        <w:rPr>
          <w:rFonts w:ascii="Times New Roman" w:eastAsia="Times New Roman" w:hAnsi="Times New Roman" w:cs="Times New Roman"/>
          <w:b/>
          <w:sz w:val="24"/>
          <w:szCs w:val="24"/>
        </w:rPr>
        <w:t>Training Camps</w:t>
      </w:r>
    </w:p>
    <w:p w:rsidR="0087326C" w:rsidRDefault="0087326C" w:rsidP="008732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third important allegation was whether the detainee attended a training camp.  The government alleged training camp attendance in 28 of the 46 cases and when courts accepted the allegation, </w:t>
      </w:r>
      <w:r w:rsidR="00667CBE">
        <w:rPr>
          <w:rFonts w:ascii="Times New Roman" w:eastAsia="Times New Roman" w:hAnsi="Times New Roman" w:cs="Times New Roman"/>
          <w:sz w:val="24"/>
          <w:szCs w:val="24"/>
        </w:rPr>
        <w:t>the petition was usually denied:</w:t>
      </w:r>
    </w:p>
    <w:p w:rsidR="0087326C" w:rsidRPr="005053DF" w:rsidRDefault="005053DF" w:rsidP="0087326C">
      <w:pPr>
        <w:spacing w:after="240" w:line="240" w:lineRule="auto"/>
        <w:jc w:val="center"/>
        <w:rPr>
          <w:rFonts w:ascii="Times New Roman" w:eastAsia="Times New Roman" w:hAnsi="Times New Roman" w:cs="Times New Roman"/>
          <w:sz w:val="24"/>
          <w:szCs w:val="24"/>
        </w:rPr>
      </w:pPr>
      <w:r w:rsidRPr="005053DF">
        <w:rPr>
          <w:rFonts w:ascii="Times New Roman" w:eastAsia="Times New Roman" w:hAnsi="Times New Roman" w:cs="Times New Roman"/>
          <w:noProof/>
          <w:sz w:val="24"/>
          <w:szCs w:val="24"/>
        </w:rPr>
        <w:drawing>
          <wp:inline distT="0" distB="0" distL="0" distR="0">
            <wp:extent cx="4170178" cy="2679405"/>
            <wp:effectExtent l="19050" t="0" r="20822" b="6645"/>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TableGrid"/>
        <w:tblW w:w="0" w:type="auto"/>
        <w:tblLook w:val="04A0" w:firstRow="1" w:lastRow="0" w:firstColumn="1" w:lastColumn="0" w:noHBand="0" w:noVBand="1"/>
      </w:tblPr>
      <w:tblGrid>
        <w:gridCol w:w="1998"/>
        <w:gridCol w:w="2520"/>
        <w:gridCol w:w="2520"/>
        <w:gridCol w:w="2538"/>
      </w:tblGrid>
      <w:tr w:rsidR="007508FB" w:rsidTr="007508FB">
        <w:tc>
          <w:tcPr>
            <w:tcW w:w="9576" w:type="dxa"/>
            <w:gridSpan w:val="4"/>
            <w:shd w:val="clear" w:color="auto" w:fill="BFBFBF" w:themeFill="background1" w:themeFillShade="BF"/>
          </w:tcPr>
          <w:p w:rsidR="007508FB" w:rsidRPr="00602964" w:rsidRDefault="007508FB" w:rsidP="007508FB">
            <w:pPr>
              <w:jc w:val="center"/>
              <w:rPr>
                <w:b/>
              </w:rPr>
            </w:pPr>
            <w:r>
              <w:rPr>
                <w:b/>
              </w:rPr>
              <w:t>Training Camps</w:t>
            </w:r>
          </w:p>
          <w:p w:rsidR="007508FB" w:rsidRDefault="007508FB" w:rsidP="007508FB">
            <w:pPr>
              <w:jc w:val="center"/>
            </w:pPr>
            <w:r>
              <w:t>Alleged in 28 out of 46 cases (11 grant, 17 deny)</w:t>
            </w:r>
          </w:p>
        </w:tc>
      </w:tr>
      <w:tr w:rsidR="007508FB" w:rsidTr="007508FB">
        <w:tc>
          <w:tcPr>
            <w:tcW w:w="1998" w:type="dxa"/>
          </w:tcPr>
          <w:p w:rsidR="007508FB" w:rsidRDefault="007508FB" w:rsidP="007508FB"/>
        </w:tc>
        <w:tc>
          <w:tcPr>
            <w:tcW w:w="2520" w:type="dxa"/>
          </w:tcPr>
          <w:p w:rsidR="007508FB" w:rsidRDefault="007508FB" w:rsidP="007508FB">
            <w:r>
              <w:t>Pre-</w:t>
            </w:r>
            <w:r w:rsidRPr="002F3DD5">
              <w:rPr>
                <w:i/>
              </w:rPr>
              <w:t>Adahi</w:t>
            </w:r>
          </w:p>
          <w:p w:rsidR="007508FB" w:rsidRDefault="007508FB" w:rsidP="007508FB">
            <w:r>
              <w:t>21 out of 28</w:t>
            </w:r>
          </w:p>
        </w:tc>
        <w:tc>
          <w:tcPr>
            <w:tcW w:w="2520" w:type="dxa"/>
          </w:tcPr>
          <w:p w:rsidR="007508FB" w:rsidRDefault="007508FB" w:rsidP="007508FB">
            <w:r>
              <w:t>Post-</w:t>
            </w:r>
            <w:r w:rsidRPr="002F3DD5">
              <w:rPr>
                <w:i/>
              </w:rPr>
              <w:t>Adahi</w:t>
            </w:r>
          </w:p>
          <w:p w:rsidR="007508FB" w:rsidRDefault="007508FB" w:rsidP="007508FB">
            <w:r>
              <w:t>7 out of 28</w:t>
            </w:r>
          </w:p>
        </w:tc>
        <w:tc>
          <w:tcPr>
            <w:tcW w:w="2538" w:type="dxa"/>
          </w:tcPr>
          <w:p w:rsidR="007508FB" w:rsidRDefault="007508FB" w:rsidP="007508FB">
            <w:r>
              <w:t>Total</w:t>
            </w:r>
          </w:p>
        </w:tc>
      </w:tr>
      <w:tr w:rsidR="007508FB" w:rsidTr="007508FB">
        <w:tc>
          <w:tcPr>
            <w:tcW w:w="1998" w:type="dxa"/>
          </w:tcPr>
          <w:p w:rsidR="007508FB" w:rsidRDefault="007508FB" w:rsidP="007508FB">
            <w:r>
              <w:t>Accepted</w:t>
            </w:r>
          </w:p>
        </w:tc>
        <w:tc>
          <w:tcPr>
            <w:tcW w:w="2520" w:type="dxa"/>
          </w:tcPr>
          <w:p w:rsidR="007508FB" w:rsidRDefault="007508FB" w:rsidP="007508FB">
            <w:r>
              <w:t>11</w:t>
            </w:r>
          </w:p>
          <w:p w:rsidR="007508FB" w:rsidRDefault="007508FB" w:rsidP="007508FB">
            <w:r>
              <w:t>Grant 3/Deny 8</w:t>
            </w:r>
          </w:p>
        </w:tc>
        <w:tc>
          <w:tcPr>
            <w:tcW w:w="2520" w:type="dxa"/>
          </w:tcPr>
          <w:p w:rsidR="007508FB" w:rsidRDefault="007508FB" w:rsidP="007508FB">
            <w:r>
              <w:t>4</w:t>
            </w:r>
          </w:p>
          <w:p w:rsidR="007508FB" w:rsidRDefault="007508FB" w:rsidP="007508FB">
            <w:r>
              <w:t>Deny 4</w:t>
            </w:r>
          </w:p>
        </w:tc>
        <w:tc>
          <w:tcPr>
            <w:tcW w:w="2538" w:type="dxa"/>
          </w:tcPr>
          <w:p w:rsidR="007508FB" w:rsidRDefault="007508FB" w:rsidP="007508FB">
            <w:r>
              <w:t>15</w:t>
            </w:r>
          </w:p>
          <w:p w:rsidR="007508FB" w:rsidRDefault="007508FB" w:rsidP="007508FB">
            <w:r>
              <w:t>Grant 3/Deny12</w:t>
            </w:r>
          </w:p>
        </w:tc>
      </w:tr>
      <w:tr w:rsidR="007508FB" w:rsidTr="007508FB">
        <w:tc>
          <w:tcPr>
            <w:tcW w:w="1998" w:type="dxa"/>
          </w:tcPr>
          <w:p w:rsidR="007508FB" w:rsidRDefault="007508FB" w:rsidP="007508FB">
            <w:r>
              <w:t>Rejected</w:t>
            </w:r>
          </w:p>
        </w:tc>
        <w:tc>
          <w:tcPr>
            <w:tcW w:w="2520" w:type="dxa"/>
          </w:tcPr>
          <w:p w:rsidR="007508FB" w:rsidRDefault="007508FB" w:rsidP="007508FB">
            <w:r>
              <w:t>8</w:t>
            </w:r>
          </w:p>
          <w:p w:rsidR="007508FB" w:rsidRDefault="007508FB" w:rsidP="007508FB">
            <w:r>
              <w:t>Grant 7/Deny 1</w:t>
            </w:r>
          </w:p>
        </w:tc>
        <w:tc>
          <w:tcPr>
            <w:tcW w:w="2520" w:type="dxa"/>
          </w:tcPr>
          <w:p w:rsidR="007508FB" w:rsidRDefault="007508FB" w:rsidP="007508FB">
            <w:r>
              <w:t>1</w:t>
            </w:r>
          </w:p>
          <w:p w:rsidR="007508FB" w:rsidRDefault="007508FB" w:rsidP="007508FB">
            <w:r>
              <w:t>Deny 1</w:t>
            </w:r>
          </w:p>
        </w:tc>
        <w:tc>
          <w:tcPr>
            <w:tcW w:w="2538" w:type="dxa"/>
          </w:tcPr>
          <w:p w:rsidR="007508FB" w:rsidRDefault="007508FB" w:rsidP="007508FB">
            <w:r>
              <w:t>9</w:t>
            </w:r>
          </w:p>
          <w:p w:rsidR="007508FB" w:rsidRDefault="007508FB" w:rsidP="007508FB">
            <w:r>
              <w:t>Grant 7/Deny 2</w:t>
            </w:r>
          </w:p>
        </w:tc>
      </w:tr>
      <w:tr w:rsidR="007508FB" w:rsidTr="007508FB">
        <w:tc>
          <w:tcPr>
            <w:tcW w:w="1998" w:type="dxa"/>
          </w:tcPr>
          <w:p w:rsidR="007508FB" w:rsidRDefault="007508FB" w:rsidP="007508FB">
            <w:r>
              <w:t>Silent</w:t>
            </w:r>
          </w:p>
        </w:tc>
        <w:tc>
          <w:tcPr>
            <w:tcW w:w="2520" w:type="dxa"/>
          </w:tcPr>
          <w:p w:rsidR="007508FB" w:rsidRDefault="007508FB" w:rsidP="007508FB">
            <w:r>
              <w:t>2</w:t>
            </w:r>
          </w:p>
          <w:p w:rsidR="007508FB" w:rsidRDefault="007508FB" w:rsidP="007508FB">
            <w:r>
              <w:t>Deny 2</w:t>
            </w:r>
          </w:p>
        </w:tc>
        <w:tc>
          <w:tcPr>
            <w:tcW w:w="2520" w:type="dxa"/>
          </w:tcPr>
          <w:p w:rsidR="007508FB" w:rsidRDefault="007508FB" w:rsidP="007508FB">
            <w:r>
              <w:t>2</w:t>
            </w:r>
          </w:p>
          <w:p w:rsidR="007508FB" w:rsidRPr="002F3DD5" w:rsidRDefault="007508FB" w:rsidP="007508FB">
            <w:r>
              <w:t>Grant 1(</w:t>
            </w:r>
            <w:r>
              <w:rPr>
                <w:i/>
              </w:rPr>
              <w:t>Latif</w:t>
            </w:r>
            <w:r>
              <w:t>)/ Deny 1</w:t>
            </w:r>
          </w:p>
        </w:tc>
        <w:tc>
          <w:tcPr>
            <w:tcW w:w="2538" w:type="dxa"/>
          </w:tcPr>
          <w:p w:rsidR="007508FB" w:rsidRDefault="007508FB" w:rsidP="007508FB">
            <w:r>
              <w:t>4</w:t>
            </w:r>
          </w:p>
          <w:p w:rsidR="007508FB" w:rsidRDefault="007508FB" w:rsidP="007508FB">
            <w:r>
              <w:t>Grant 1(</w:t>
            </w:r>
            <w:r w:rsidRPr="0026002D">
              <w:rPr>
                <w:i/>
              </w:rPr>
              <w:t>Latif</w:t>
            </w:r>
            <w:r>
              <w:t>)/Deny 3</w:t>
            </w:r>
          </w:p>
        </w:tc>
      </w:tr>
    </w:tbl>
    <w:p w:rsidR="007508FB" w:rsidRDefault="007508FB" w:rsidP="009F7DAC">
      <w:pPr>
        <w:spacing w:after="240" w:line="240" w:lineRule="auto"/>
        <w:jc w:val="both"/>
        <w:rPr>
          <w:rFonts w:ascii="Times New Roman" w:eastAsia="Times New Roman" w:hAnsi="Times New Roman" w:cs="Times New Roman"/>
          <w:sz w:val="24"/>
          <w:szCs w:val="24"/>
        </w:rPr>
      </w:pPr>
    </w:p>
    <w:p w:rsidR="0087326C" w:rsidRPr="0087326C" w:rsidRDefault="0087326C" w:rsidP="009F7DAC">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4A5E53">
        <w:rPr>
          <w:rFonts w:ascii="Times New Roman" w:hAnsi="Times New Roman" w:cs="Times New Roman"/>
          <w:sz w:val="24"/>
          <w:szCs w:val="24"/>
        </w:rPr>
        <w:t xml:space="preserve">In </w:t>
      </w:r>
      <w:r>
        <w:rPr>
          <w:rFonts w:ascii="Times New Roman" w:hAnsi="Times New Roman" w:cs="Times New Roman"/>
          <w:sz w:val="24"/>
          <w:szCs w:val="24"/>
        </w:rPr>
        <w:t xml:space="preserve">the 21 </w:t>
      </w:r>
      <w:r w:rsidRPr="004A5E53">
        <w:rPr>
          <w:rFonts w:ascii="Times New Roman" w:hAnsi="Times New Roman" w:cs="Times New Roman"/>
          <w:sz w:val="24"/>
          <w:szCs w:val="24"/>
        </w:rPr>
        <w:t xml:space="preserve">cases before </w:t>
      </w:r>
      <w:r>
        <w:rPr>
          <w:rFonts w:ascii="Times New Roman" w:hAnsi="Times New Roman" w:cs="Times New Roman"/>
          <w:i/>
          <w:sz w:val="24"/>
          <w:szCs w:val="24"/>
        </w:rPr>
        <w:t>Al-Adahi</w:t>
      </w:r>
      <w:r w:rsidRPr="004A5E53">
        <w:rPr>
          <w:rFonts w:ascii="Times New Roman" w:hAnsi="Times New Roman" w:cs="Times New Roman"/>
          <w:sz w:val="24"/>
          <w:szCs w:val="24"/>
        </w:rPr>
        <w:t xml:space="preserve"> where the government alleged a detainee attended a training camp, the district court rejected the allegation</w:t>
      </w:r>
      <w:r>
        <w:rPr>
          <w:rFonts w:ascii="Times New Roman" w:hAnsi="Times New Roman" w:cs="Times New Roman"/>
          <w:sz w:val="24"/>
          <w:szCs w:val="24"/>
        </w:rPr>
        <w:t xml:space="preserve"> 8 times or</w:t>
      </w:r>
      <w:r w:rsidRPr="004A5E53">
        <w:rPr>
          <w:rFonts w:ascii="Times New Roman" w:hAnsi="Times New Roman" w:cs="Times New Roman"/>
          <w:sz w:val="24"/>
          <w:szCs w:val="24"/>
        </w:rPr>
        <w:t xml:space="preserve"> 38%</w:t>
      </w:r>
      <w:r>
        <w:rPr>
          <w:rFonts w:ascii="Times New Roman" w:hAnsi="Times New Roman" w:cs="Times New Roman"/>
          <w:sz w:val="24"/>
          <w:szCs w:val="24"/>
        </w:rPr>
        <w:t>, 7 of which were granted.  A</w:t>
      </w:r>
      <w:r w:rsidRPr="004A5E53">
        <w:rPr>
          <w:rFonts w:ascii="Times New Roman" w:hAnsi="Times New Roman" w:cs="Times New Roman"/>
          <w:sz w:val="24"/>
          <w:szCs w:val="24"/>
        </w:rPr>
        <w:t xml:space="preserve">fter </w:t>
      </w:r>
      <w:r>
        <w:rPr>
          <w:rFonts w:ascii="Times New Roman" w:hAnsi="Times New Roman" w:cs="Times New Roman"/>
          <w:i/>
          <w:sz w:val="24"/>
          <w:szCs w:val="24"/>
        </w:rPr>
        <w:t>Al-Adahi</w:t>
      </w:r>
      <w:r w:rsidRPr="004A5E53">
        <w:rPr>
          <w:rFonts w:ascii="Times New Roman" w:hAnsi="Times New Roman" w:cs="Times New Roman"/>
          <w:sz w:val="24"/>
          <w:szCs w:val="24"/>
        </w:rPr>
        <w:t xml:space="preserve">, the courts </w:t>
      </w:r>
      <w:r>
        <w:rPr>
          <w:rFonts w:ascii="Times New Roman" w:hAnsi="Times New Roman" w:cs="Times New Roman"/>
          <w:sz w:val="24"/>
          <w:szCs w:val="24"/>
        </w:rPr>
        <w:t xml:space="preserve">considered the allegation 7 times and </w:t>
      </w:r>
      <w:r w:rsidRPr="004A5E53">
        <w:rPr>
          <w:rFonts w:ascii="Times New Roman" w:hAnsi="Times New Roman" w:cs="Times New Roman"/>
          <w:sz w:val="24"/>
          <w:szCs w:val="24"/>
        </w:rPr>
        <w:t xml:space="preserve">rejected </w:t>
      </w:r>
      <w:r>
        <w:rPr>
          <w:rFonts w:ascii="Times New Roman" w:hAnsi="Times New Roman" w:cs="Times New Roman"/>
          <w:sz w:val="24"/>
          <w:szCs w:val="24"/>
        </w:rPr>
        <w:t>it only once or</w:t>
      </w:r>
      <w:r w:rsidRPr="004A5E53">
        <w:rPr>
          <w:rFonts w:ascii="Times New Roman" w:hAnsi="Times New Roman" w:cs="Times New Roman"/>
          <w:sz w:val="24"/>
          <w:szCs w:val="24"/>
        </w:rPr>
        <w:t xml:space="preserve"> </w:t>
      </w:r>
      <w:r>
        <w:rPr>
          <w:rFonts w:ascii="Times New Roman" w:hAnsi="Times New Roman" w:cs="Times New Roman"/>
          <w:sz w:val="24"/>
          <w:szCs w:val="24"/>
        </w:rPr>
        <w:t>14% of the time.  The</w:t>
      </w:r>
      <w:r w:rsidRPr="004A5E53">
        <w:rPr>
          <w:rFonts w:ascii="Times New Roman" w:hAnsi="Times New Roman" w:cs="Times New Roman"/>
          <w:sz w:val="24"/>
          <w:szCs w:val="24"/>
        </w:rPr>
        <w:t xml:space="preserve"> district courts accepted the allegation</w:t>
      </w:r>
      <w:r>
        <w:rPr>
          <w:rFonts w:ascii="Times New Roman" w:hAnsi="Times New Roman" w:cs="Times New Roman"/>
          <w:sz w:val="24"/>
          <w:szCs w:val="24"/>
        </w:rPr>
        <w:t xml:space="preserve"> 11 out of 21 times or</w:t>
      </w:r>
      <w:r w:rsidRPr="004A5E53">
        <w:rPr>
          <w:rFonts w:ascii="Times New Roman" w:hAnsi="Times New Roman" w:cs="Times New Roman"/>
          <w:sz w:val="24"/>
          <w:szCs w:val="24"/>
        </w:rPr>
        <w:t xml:space="preserve"> 52% of the time it was alleged</w:t>
      </w:r>
      <w:r>
        <w:rPr>
          <w:rFonts w:ascii="Times New Roman" w:hAnsi="Times New Roman" w:cs="Times New Roman"/>
          <w:sz w:val="24"/>
          <w:szCs w:val="24"/>
        </w:rPr>
        <w:t xml:space="preserve"> before </w:t>
      </w:r>
      <w:r>
        <w:rPr>
          <w:rFonts w:ascii="Times New Roman" w:hAnsi="Times New Roman" w:cs="Times New Roman"/>
          <w:i/>
          <w:sz w:val="24"/>
          <w:szCs w:val="24"/>
        </w:rPr>
        <w:t>Al-Adahi</w:t>
      </w:r>
      <w:r>
        <w:rPr>
          <w:rFonts w:ascii="Times New Roman" w:hAnsi="Times New Roman" w:cs="Times New Roman"/>
          <w:sz w:val="24"/>
          <w:szCs w:val="24"/>
        </w:rPr>
        <w:t>, and this</w:t>
      </w:r>
      <w:r w:rsidRPr="004A5E53">
        <w:rPr>
          <w:rFonts w:ascii="Times New Roman" w:hAnsi="Times New Roman" w:cs="Times New Roman"/>
          <w:sz w:val="24"/>
          <w:szCs w:val="24"/>
        </w:rPr>
        <w:t xml:space="preserve"> figure rose to 57% of the time after</w:t>
      </w:r>
      <w:r>
        <w:rPr>
          <w:rFonts w:ascii="Times New Roman" w:hAnsi="Times New Roman" w:cs="Times New Roman"/>
          <w:sz w:val="24"/>
          <w:szCs w:val="24"/>
        </w:rPr>
        <w:t xml:space="preserve">, or 4 acceptances out of 7.  Finally, </w:t>
      </w:r>
      <w:r w:rsidRPr="004A5E53">
        <w:rPr>
          <w:rFonts w:ascii="Times New Roman" w:hAnsi="Times New Roman" w:cs="Times New Roman"/>
          <w:sz w:val="24"/>
          <w:szCs w:val="24"/>
        </w:rPr>
        <w:t xml:space="preserve">before </w:t>
      </w:r>
      <w:r>
        <w:rPr>
          <w:rFonts w:ascii="Times New Roman" w:hAnsi="Times New Roman" w:cs="Times New Roman"/>
          <w:i/>
          <w:sz w:val="24"/>
          <w:szCs w:val="24"/>
        </w:rPr>
        <w:t>Al-Adahi</w:t>
      </w:r>
      <w:r>
        <w:rPr>
          <w:rFonts w:ascii="Times New Roman" w:hAnsi="Times New Roman" w:cs="Times New Roman"/>
          <w:sz w:val="24"/>
          <w:szCs w:val="24"/>
        </w:rPr>
        <w:t>,</w:t>
      </w:r>
      <w:r w:rsidRPr="004A5E53">
        <w:rPr>
          <w:rFonts w:ascii="Times New Roman" w:hAnsi="Times New Roman" w:cs="Times New Roman"/>
          <w:sz w:val="24"/>
          <w:szCs w:val="24"/>
        </w:rPr>
        <w:t xml:space="preserve"> district courts were silent on </w:t>
      </w:r>
      <w:r w:rsidR="00667CBE">
        <w:rPr>
          <w:rFonts w:ascii="Times New Roman" w:hAnsi="Times New Roman" w:cs="Times New Roman"/>
          <w:sz w:val="24"/>
          <w:szCs w:val="24"/>
        </w:rPr>
        <w:t>the</w:t>
      </w:r>
      <w:r w:rsidRPr="004A5E53">
        <w:rPr>
          <w:rFonts w:ascii="Times New Roman" w:hAnsi="Times New Roman" w:cs="Times New Roman"/>
          <w:sz w:val="24"/>
          <w:szCs w:val="24"/>
        </w:rPr>
        <w:t xml:space="preserve"> significance of this allegation 10% of the time</w:t>
      </w:r>
      <w:r>
        <w:rPr>
          <w:rFonts w:ascii="Times New Roman" w:hAnsi="Times New Roman" w:cs="Times New Roman"/>
          <w:sz w:val="24"/>
          <w:szCs w:val="24"/>
        </w:rPr>
        <w:t xml:space="preserve"> (2 out of 21</w:t>
      </w:r>
      <w:r w:rsidR="00667CBE">
        <w:rPr>
          <w:rFonts w:ascii="Times New Roman" w:hAnsi="Times New Roman" w:cs="Times New Roman"/>
          <w:sz w:val="24"/>
          <w:szCs w:val="24"/>
        </w:rPr>
        <w:t>), and</w:t>
      </w:r>
      <w:r w:rsidRPr="004A5E53">
        <w:rPr>
          <w:rFonts w:ascii="Times New Roman" w:hAnsi="Times New Roman" w:cs="Times New Roman"/>
          <w:sz w:val="24"/>
          <w:szCs w:val="24"/>
        </w:rPr>
        <w:t xml:space="preserve"> remained silent on this issue 29% of the time</w:t>
      </w:r>
      <w:r>
        <w:rPr>
          <w:rFonts w:ascii="Times New Roman" w:hAnsi="Times New Roman" w:cs="Times New Roman"/>
          <w:sz w:val="24"/>
          <w:szCs w:val="24"/>
        </w:rPr>
        <w:t xml:space="preserve"> (2 out of 7)</w:t>
      </w:r>
      <w:r w:rsidR="00667CBE">
        <w:rPr>
          <w:rFonts w:ascii="Times New Roman" w:hAnsi="Times New Roman" w:cs="Times New Roman"/>
          <w:sz w:val="24"/>
          <w:szCs w:val="24"/>
        </w:rPr>
        <w:t xml:space="preserve"> after</w:t>
      </w:r>
      <w:r>
        <w:rPr>
          <w:rFonts w:ascii="Times New Roman" w:hAnsi="Times New Roman" w:cs="Times New Roman"/>
          <w:sz w:val="24"/>
          <w:szCs w:val="24"/>
        </w:rPr>
        <w:t>.</w:t>
      </w:r>
    </w:p>
    <w:p w:rsidR="006D04A6" w:rsidRPr="0087326C" w:rsidRDefault="00705642" w:rsidP="0087326C">
      <w:pPr>
        <w:spacing w:after="240" w:line="240" w:lineRule="auto"/>
        <w:jc w:val="center"/>
        <w:rPr>
          <w:rFonts w:ascii="Times New Roman" w:eastAsia="Times New Roman" w:hAnsi="Times New Roman" w:cs="Times New Roman"/>
          <w:sz w:val="24"/>
          <w:szCs w:val="24"/>
        </w:rPr>
      </w:pPr>
      <w:r>
        <w:rPr>
          <w:noProof/>
        </w:rPr>
        <w:drawing>
          <wp:inline distT="0" distB="0" distL="0" distR="0">
            <wp:extent cx="2713990" cy="2164597"/>
            <wp:effectExtent l="19050" t="0" r="10160" b="7103"/>
            <wp:docPr id="1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162698">
        <w:rPr>
          <w:rFonts w:ascii="Times New Roman" w:eastAsia="Times New Roman" w:hAnsi="Times New Roman" w:cs="Times New Roman"/>
          <w:sz w:val="24"/>
          <w:szCs w:val="24"/>
        </w:rPr>
        <w:t xml:space="preserve">   </w:t>
      </w:r>
      <w:r>
        <w:rPr>
          <w:noProof/>
        </w:rPr>
        <w:drawing>
          <wp:inline distT="0" distB="0" distL="0" distR="0">
            <wp:extent cx="2588305" cy="2164597"/>
            <wp:effectExtent l="19050" t="0" r="21545" b="7103"/>
            <wp:docPr id="1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D04A6" w:rsidRPr="00162698" w:rsidRDefault="006D04A6" w:rsidP="00162698">
      <w:pPr>
        <w:tabs>
          <w:tab w:val="left" w:pos="720"/>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162698" w:rsidRPr="00162698">
        <w:rPr>
          <w:rFonts w:ascii="Times New Roman" w:eastAsia="Times New Roman" w:hAnsi="Times New Roman" w:cs="Times New Roman"/>
          <w:b/>
          <w:sz w:val="24"/>
          <w:szCs w:val="24"/>
        </w:rPr>
        <w:t>D.</w:t>
      </w:r>
      <w:r w:rsidR="00162698" w:rsidRPr="00162698">
        <w:rPr>
          <w:rFonts w:ascii="Times New Roman" w:eastAsia="Times New Roman" w:hAnsi="Times New Roman" w:cs="Times New Roman"/>
          <w:b/>
          <w:sz w:val="24"/>
          <w:szCs w:val="24"/>
        </w:rPr>
        <w:tab/>
      </w:r>
      <w:r w:rsidRPr="00162698">
        <w:rPr>
          <w:rFonts w:ascii="Times New Roman" w:eastAsia="Times New Roman" w:hAnsi="Times New Roman" w:cs="Times New Roman"/>
          <w:b/>
          <w:sz w:val="24"/>
          <w:szCs w:val="24"/>
        </w:rPr>
        <w:t>Travel</w:t>
      </w:r>
    </w:p>
    <w:p w:rsidR="00667CBE" w:rsidRDefault="00667CBE" w:rsidP="00667C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67CBE">
        <w:rPr>
          <w:rFonts w:ascii="Times New Roman" w:eastAsia="Times New Roman" w:hAnsi="Times New Roman" w:cs="Times New Roman"/>
          <w:sz w:val="24"/>
          <w:szCs w:val="24"/>
        </w:rPr>
        <w:t>The next notable allegation was whether a detainee traveled on a particular route.  The government alleged travel route in 36 of the 46 cases</w:t>
      </w:r>
      <w:r>
        <w:rPr>
          <w:rFonts w:ascii="Times New Roman" w:eastAsia="Times New Roman" w:hAnsi="Times New Roman" w:cs="Times New Roman"/>
          <w:sz w:val="24"/>
          <w:szCs w:val="24"/>
        </w:rPr>
        <w:t>,</w:t>
      </w:r>
      <w:r w:rsidRPr="00667CBE">
        <w:rPr>
          <w:rFonts w:ascii="Times New Roman" w:eastAsia="Times New Roman" w:hAnsi="Times New Roman" w:cs="Times New Roman"/>
          <w:sz w:val="24"/>
          <w:szCs w:val="24"/>
        </w:rPr>
        <w:t xml:space="preserve"> and when courts accepted the allegation, the petition was usually denied.  </w:t>
      </w:r>
    </w:p>
    <w:p w:rsidR="005053DF" w:rsidRPr="005053DF" w:rsidRDefault="005053DF" w:rsidP="0060345D">
      <w:pPr>
        <w:spacing w:after="240" w:line="240" w:lineRule="auto"/>
        <w:jc w:val="center"/>
        <w:rPr>
          <w:rFonts w:ascii="Times New Roman" w:eastAsia="Times New Roman" w:hAnsi="Times New Roman" w:cs="Times New Roman"/>
          <w:sz w:val="24"/>
          <w:szCs w:val="24"/>
        </w:rPr>
      </w:pPr>
      <w:r w:rsidRPr="005053DF">
        <w:rPr>
          <w:rFonts w:ascii="Times New Roman" w:eastAsia="Times New Roman" w:hAnsi="Times New Roman" w:cs="Times New Roman"/>
          <w:noProof/>
          <w:sz w:val="24"/>
          <w:szCs w:val="24"/>
        </w:rPr>
        <w:drawing>
          <wp:inline distT="0" distB="0" distL="0" distR="0">
            <wp:extent cx="4074795" cy="2886075"/>
            <wp:effectExtent l="19050" t="0" r="20955"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Style w:val="TableGrid"/>
        <w:tblW w:w="0" w:type="auto"/>
        <w:tblLook w:val="04A0" w:firstRow="1" w:lastRow="0" w:firstColumn="1" w:lastColumn="0" w:noHBand="0" w:noVBand="1"/>
      </w:tblPr>
      <w:tblGrid>
        <w:gridCol w:w="1998"/>
        <w:gridCol w:w="2520"/>
        <w:gridCol w:w="2520"/>
        <w:gridCol w:w="2538"/>
      </w:tblGrid>
      <w:tr w:rsidR="00AD0574" w:rsidTr="000D4165">
        <w:tc>
          <w:tcPr>
            <w:tcW w:w="9576" w:type="dxa"/>
            <w:gridSpan w:val="4"/>
            <w:shd w:val="clear" w:color="auto" w:fill="BFBFBF" w:themeFill="background1" w:themeFillShade="BF"/>
          </w:tcPr>
          <w:p w:rsidR="00AD0574" w:rsidRPr="00602964" w:rsidRDefault="00AD0574" w:rsidP="000D4165">
            <w:pPr>
              <w:jc w:val="center"/>
              <w:rPr>
                <w:b/>
              </w:rPr>
            </w:pPr>
            <w:r>
              <w:rPr>
                <w:b/>
              </w:rPr>
              <w:t>Travel</w:t>
            </w:r>
          </w:p>
          <w:p w:rsidR="00AD0574" w:rsidRDefault="00AD0574" w:rsidP="000D4165">
            <w:pPr>
              <w:jc w:val="center"/>
            </w:pPr>
            <w:r>
              <w:t>Alleged in 36 out of 46 cases (18 grant, 18 deny)</w:t>
            </w:r>
          </w:p>
        </w:tc>
      </w:tr>
      <w:tr w:rsidR="00AD0574" w:rsidTr="000D4165">
        <w:tc>
          <w:tcPr>
            <w:tcW w:w="1998" w:type="dxa"/>
          </w:tcPr>
          <w:p w:rsidR="00AD0574" w:rsidRDefault="00AD0574" w:rsidP="000D4165"/>
        </w:tc>
        <w:tc>
          <w:tcPr>
            <w:tcW w:w="2520" w:type="dxa"/>
          </w:tcPr>
          <w:p w:rsidR="00AD0574" w:rsidRDefault="00AD0574" w:rsidP="000D4165">
            <w:r>
              <w:t>Pre-</w:t>
            </w:r>
            <w:r w:rsidRPr="002F3DD5">
              <w:rPr>
                <w:i/>
              </w:rPr>
              <w:t>Adahi</w:t>
            </w:r>
          </w:p>
          <w:p w:rsidR="00AD0574" w:rsidRDefault="00AD0574" w:rsidP="000D4165">
            <w:r>
              <w:t>27 out of 36</w:t>
            </w:r>
          </w:p>
        </w:tc>
        <w:tc>
          <w:tcPr>
            <w:tcW w:w="2520" w:type="dxa"/>
          </w:tcPr>
          <w:p w:rsidR="00AD0574" w:rsidRDefault="00AD0574" w:rsidP="000D4165">
            <w:r>
              <w:t>Post-</w:t>
            </w:r>
            <w:r w:rsidRPr="002F3DD5">
              <w:rPr>
                <w:i/>
              </w:rPr>
              <w:t>Adahi</w:t>
            </w:r>
          </w:p>
          <w:p w:rsidR="00AD0574" w:rsidRDefault="00AD0574" w:rsidP="000D4165">
            <w:r>
              <w:t>9 out of 36</w:t>
            </w:r>
          </w:p>
        </w:tc>
        <w:tc>
          <w:tcPr>
            <w:tcW w:w="2538" w:type="dxa"/>
          </w:tcPr>
          <w:p w:rsidR="00AD0574" w:rsidRDefault="00AD0574" w:rsidP="000D4165">
            <w:r>
              <w:t>Total</w:t>
            </w:r>
          </w:p>
        </w:tc>
      </w:tr>
      <w:tr w:rsidR="00AD0574" w:rsidTr="000D4165">
        <w:tc>
          <w:tcPr>
            <w:tcW w:w="1998" w:type="dxa"/>
          </w:tcPr>
          <w:p w:rsidR="00AD0574" w:rsidRDefault="00AD0574" w:rsidP="000D4165">
            <w:r>
              <w:t>Accepted</w:t>
            </w:r>
          </w:p>
        </w:tc>
        <w:tc>
          <w:tcPr>
            <w:tcW w:w="2520" w:type="dxa"/>
          </w:tcPr>
          <w:p w:rsidR="00AD0574" w:rsidRDefault="00AD0574" w:rsidP="000D4165">
            <w:r>
              <w:t>13</w:t>
            </w:r>
          </w:p>
          <w:p w:rsidR="00AD0574" w:rsidRDefault="00AD0574" w:rsidP="000D4165">
            <w:r>
              <w:t>Grant 4/Deny 9</w:t>
            </w:r>
          </w:p>
        </w:tc>
        <w:tc>
          <w:tcPr>
            <w:tcW w:w="2520" w:type="dxa"/>
          </w:tcPr>
          <w:p w:rsidR="00AD0574" w:rsidRDefault="00AD0574" w:rsidP="000D4165">
            <w:r>
              <w:t>5</w:t>
            </w:r>
          </w:p>
          <w:p w:rsidR="00AD0574" w:rsidRDefault="00AD0574" w:rsidP="000D4165">
            <w:r>
              <w:t>Deny 5</w:t>
            </w:r>
          </w:p>
        </w:tc>
        <w:tc>
          <w:tcPr>
            <w:tcW w:w="2538" w:type="dxa"/>
          </w:tcPr>
          <w:p w:rsidR="00AD0574" w:rsidRDefault="00AD0574" w:rsidP="000D4165">
            <w:r>
              <w:t>18</w:t>
            </w:r>
          </w:p>
          <w:p w:rsidR="00AD0574" w:rsidRDefault="00AD0574" w:rsidP="000D4165">
            <w:r>
              <w:t>Grant 4/Deny14</w:t>
            </w:r>
          </w:p>
        </w:tc>
      </w:tr>
      <w:tr w:rsidR="00AD0574" w:rsidTr="000D4165">
        <w:tc>
          <w:tcPr>
            <w:tcW w:w="1998" w:type="dxa"/>
          </w:tcPr>
          <w:p w:rsidR="00AD0574" w:rsidRDefault="00AD0574" w:rsidP="000D4165">
            <w:r>
              <w:t>Rejected</w:t>
            </w:r>
          </w:p>
        </w:tc>
        <w:tc>
          <w:tcPr>
            <w:tcW w:w="2520" w:type="dxa"/>
          </w:tcPr>
          <w:p w:rsidR="00AD0574" w:rsidRDefault="00AD0574" w:rsidP="000D4165">
            <w:r>
              <w:t>9</w:t>
            </w:r>
          </w:p>
          <w:p w:rsidR="00AD0574" w:rsidRDefault="00AD0574" w:rsidP="000D4165">
            <w:r>
              <w:t>Grant 9</w:t>
            </w:r>
          </w:p>
        </w:tc>
        <w:tc>
          <w:tcPr>
            <w:tcW w:w="2520" w:type="dxa"/>
          </w:tcPr>
          <w:p w:rsidR="00AD0574" w:rsidRDefault="00AD0574" w:rsidP="000D4165">
            <w:r>
              <w:t>2</w:t>
            </w:r>
          </w:p>
          <w:p w:rsidR="00AD0574" w:rsidRDefault="00AD0574" w:rsidP="000D4165">
            <w:r>
              <w:t>Grant 1 (</w:t>
            </w:r>
            <w:r w:rsidRPr="00D4665E">
              <w:rPr>
                <w:i/>
              </w:rPr>
              <w:t>Latif</w:t>
            </w:r>
            <w:r>
              <w:t>)/Deny 1</w:t>
            </w:r>
          </w:p>
        </w:tc>
        <w:tc>
          <w:tcPr>
            <w:tcW w:w="2538" w:type="dxa"/>
          </w:tcPr>
          <w:p w:rsidR="00AD0574" w:rsidRDefault="00AD0574" w:rsidP="000D4165">
            <w:r>
              <w:t>11</w:t>
            </w:r>
          </w:p>
          <w:p w:rsidR="00AD0574" w:rsidRDefault="00AD0574" w:rsidP="000D4165">
            <w:r>
              <w:t>Grant 10/Deny 1</w:t>
            </w:r>
          </w:p>
        </w:tc>
      </w:tr>
      <w:tr w:rsidR="00AD0574" w:rsidTr="000D4165">
        <w:tc>
          <w:tcPr>
            <w:tcW w:w="1998" w:type="dxa"/>
          </w:tcPr>
          <w:p w:rsidR="00AD0574" w:rsidRDefault="00AD0574" w:rsidP="000D4165">
            <w:r>
              <w:t>Silent</w:t>
            </w:r>
          </w:p>
        </w:tc>
        <w:tc>
          <w:tcPr>
            <w:tcW w:w="2520" w:type="dxa"/>
          </w:tcPr>
          <w:p w:rsidR="00AD0574" w:rsidRDefault="00AD0574" w:rsidP="000D4165">
            <w:r>
              <w:t>5</w:t>
            </w:r>
          </w:p>
          <w:p w:rsidR="00AD0574" w:rsidRDefault="00AD0574" w:rsidP="000D4165">
            <w:r>
              <w:t>Grant 4/Deny 1</w:t>
            </w:r>
          </w:p>
        </w:tc>
        <w:tc>
          <w:tcPr>
            <w:tcW w:w="2520" w:type="dxa"/>
          </w:tcPr>
          <w:p w:rsidR="00AD0574" w:rsidRDefault="00AD0574" w:rsidP="000D4165">
            <w:r>
              <w:t>2</w:t>
            </w:r>
          </w:p>
          <w:p w:rsidR="00AD0574" w:rsidRPr="002F3DD5" w:rsidRDefault="00AD0574" w:rsidP="000D4165">
            <w:r>
              <w:t>Deny 2</w:t>
            </w:r>
          </w:p>
        </w:tc>
        <w:tc>
          <w:tcPr>
            <w:tcW w:w="2538" w:type="dxa"/>
          </w:tcPr>
          <w:p w:rsidR="00AD0574" w:rsidRDefault="00AD0574" w:rsidP="000D4165">
            <w:r>
              <w:t>7</w:t>
            </w:r>
          </w:p>
          <w:p w:rsidR="00AD0574" w:rsidRDefault="00AD0574" w:rsidP="000D4165">
            <w:r>
              <w:t>Grant 4/Deny 3</w:t>
            </w:r>
          </w:p>
        </w:tc>
      </w:tr>
    </w:tbl>
    <w:p w:rsidR="00667CBE" w:rsidRPr="00667CBE" w:rsidRDefault="00667CBE" w:rsidP="00667CBE">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4A5E53">
        <w:rPr>
          <w:rFonts w:ascii="Times New Roman" w:hAnsi="Times New Roman" w:cs="Times New Roman"/>
          <w:sz w:val="24"/>
          <w:szCs w:val="24"/>
        </w:rPr>
        <w:t xml:space="preserve">In </w:t>
      </w:r>
      <w:r>
        <w:rPr>
          <w:rFonts w:ascii="Times New Roman" w:hAnsi="Times New Roman" w:cs="Times New Roman"/>
          <w:sz w:val="24"/>
          <w:szCs w:val="24"/>
        </w:rPr>
        <w:t xml:space="preserve">the 27 </w:t>
      </w:r>
      <w:r w:rsidRPr="004A5E53">
        <w:rPr>
          <w:rFonts w:ascii="Times New Roman" w:hAnsi="Times New Roman" w:cs="Times New Roman"/>
          <w:sz w:val="24"/>
          <w:szCs w:val="24"/>
        </w:rPr>
        <w:t xml:space="preserve">cases before </w:t>
      </w:r>
      <w:r>
        <w:rPr>
          <w:rFonts w:ascii="Times New Roman" w:hAnsi="Times New Roman" w:cs="Times New Roman"/>
          <w:i/>
          <w:sz w:val="24"/>
          <w:szCs w:val="24"/>
        </w:rPr>
        <w:t>Al-Adahi</w:t>
      </w:r>
      <w:r w:rsidRPr="004A5E53">
        <w:rPr>
          <w:rFonts w:ascii="Times New Roman" w:hAnsi="Times New Roman" w:cs="Times New Roman"/>
          <w:sz w:val="24"/>
          <w:szCs w:val="24"/>
        </w:rPr>
        <w:t xml:space="preserve"> where the government alleged the detainee traveled on a particular route, the court rejected the allegation</w:t>
      </w:r>
      <w:r>
        <w:rPr>
          <w:rFonts w:ascii="Times New Roman" w:hAnsi="Times New Roman" w:cs="Times New Roman"/>
          <w:sz w:val="24"/>
          <w:szCs w:val="24"/>
        </w:rPr>
        <w:t xml:space="preserve"> 9 times or</w:t>
      </w:r>
      <w:r w:rsidRPr="004A5E53">
        <w:rPr>
          <w:rFonts w:ascii="Times New Roman" w:hAnsi="Times New Roman" w:cs="Times New Roman"/>
          <w:sz w:val="24"/>
          <w:szCs w:val="24"/>
        </w:rPr>
        <w:t xml:space="preserve"> 33%</w:t>
      </w:r>
      <w:r>
        <w:rPr>
          <w:rFonts w:ascii="Times New Roman" w:hAnsi="Times New Roman" w:cs="Times New Roman"/>
          <w:sz w:val="24"/>
          <w:szCs w:val="24"/>
        </w:rPr>
        <w:t>, granting all 9 petitions.</w:t>
      </w:r>
      <w:r w:rsidRPr="004A5E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5E53">
        <w:rPr>
          <w:rFonts w:ascii="Times New Roman" w:hAnsi="Times New Roman" w:cs="Times New Roman"/>
          <w:sz w:val="24"/>
          <w:szCs w:val="24"/>
        </w:rPr>
        <w:t xml:space="preserve">After </w:t>
      </w:r>
      <w:r>
        <w:rPr>
          <w:rFonts w:ascii="Times New Roman" w:hAnsi="Times New Roman" w:cs="Times New Roman"/>
          <w:i/>
          <w:sz w:val="24"/>
          <w:szCs w:val="24"/>
        </w:rPr>
        <w:t>Al-Adahi</w:t>
      </w:r>
      <w:r w:rsidRPr="004A5E53">
        <w:rPr>
          <w:rFonts w:ascii="Times New Roman" w:hAnsi="Times New Roman" w:cs="Times New Roman"/>
          <w:sz w:val="24"/>
          <w:szCs w:val="24"/>
        </w:rPr>
        <w:t>, the court</w:t>
      </w:r>
      <w:r>
        <w:rPr>
          <w:rFonts w:ascii="Times New Roman" w:hAnsi="Times New Roman" w:cs="Times New Roman"/>
          <w:sz w:val="24"/>
          <w:szCs w:val="24"/>
        </w:rPr>
        <w:t>s considered the allegation 9 times and</w:t>
      </w:r>
      <w:r w:rsidRPr="004A5E53">
        <w:rPr>
          <w:rFonts w:ascii="Times New Roman" w:hAnsi="Times New Roman" w:cs="Times New Roman"/>
          <w:sz w:val="24"/>
          <w:szCs w:val="24"/>
        </w:rPr>
        <w:t xml:space="preserve"> rejected the allegation</w:t>
      </w:r>
      <w:r>
        <w:rPr>
          <w:rFonts w:ascii="Times New Roman" w:hAnsi="Times New Roman" w:cs="Times New Roman"/>
          <w:sz w:val="24"/>
          <w:szCs w:val="24"/>
        </w:rPr>
        <w:t xml:space="preserve"> twice or</w:t>
      </w:r>
      <w:r w:rsidRPr="004A5E53">
        <w:rPr>
          <w:rFonts w:ascii="Times New Roman" w:hAnsi="Times New Roman" w:cs="Times New Roman"/>
          <w:sz w:val="24"/>
          <w:szCs w:val="24"/>
        </w:rPr>
        <w:t xml:space="preserve"> 22% of the time.</w:t>
      </w:r>
      <w:r>
        <w:rPr>
          <w:rFonts w:ascii="Times New Roman" w:hAnsi="Times New Roman" w:cs="Times New Roman"/>
          <w:sz w:val="24"/>
          <w:szCs w:val="24"/>
        </w:rPr>
        <w:t xml:space="preserve">  As for acceptance, </w:t>
      </w:r>
      <w:r w:rsidRPr="004A5E53">
        <w:rPr>
          <w:rFonts w:ascii="Times New Roman" w:hAnsi="Times New Roman" w:cs="Times New Roman"/>
          <w:sz w:val="24"/>
          <w:szCs w:val="24"/>
        </w:rPr>
        <w:t xml:space="preserve">before </w:t>
      </w:r>
      <w:r>
        <w:rPr>
          <w:rFonts w:ascii="Times New Roman" w:hAnsi="Times New Roman" w:cs="Times New Roman"/>
          <w:i/>
          <w:sz w:val="24"/>
          <w:szCs w:val="24"/>
        </w:rPr>
        <w:t>Al-Adahi</w:t>
      </w:r>
      <w:r w:rsidRPr="004A5E53">
        <w:rPr>
          <w:rFonts w:ascii="Times New Roman" w:hAnsi="Times New Roman" w:cs="Times New Roman"/>
          <w:sz w:val="24"/>
          <w:szCs w:val="24"/>
        </w:rPr>
        <w:t xml:space="preserve"> district courts accepted the allegation</w:t>
      </w:r>
      <w:r>
        <w:rPr>
          <w:rFonts w:ascii="Times New Roman" w:hAnsi="Times New Roman" w:cs="Times New Roman"/>
          <w:sz w:val="24"/>
          <w:szCs w:val="24"/>
        </w:rPr>
        <w:t xml:space="preserve"> 13 out of 27 times or</w:t>
      </w:r>
      <w:r w:rsidRPr="004A5E53">
        <w:rPr>
          <w:rFonts w:ascii="Times New Roman" w:hAnsi="Times New Roman" w:cs="Times New Roman"/>
          <w:sz w:val="24"/>
          <w:szCs w:val="24"/>
        </w:rPr>
        <w:t xml:space="preserve"> 48% of the time. </w:t>
      </w:r>
      <w:r>
        <w:rPr>
          <w:rFonts w:ascii="Times New Roman" w:hAnsi="Times New Roman" w:cs="Times New Roman"/>
          <w:sz w:val="24"/>
          <w:szCs w:val="24"/>
        </w:rPr>
        <w:t xml:space="preserve"> </w:t>
      </w:r>
      <w:r w:rsidRPr="004A5E53">
        <w:rPr>
          <w:rFonts w:ascii="Times New Roman" w:hAnsi="Times New Roman" w:cs="Times New Roman"/>
          <w:sz w:val="24"/>
          <w:szCs w:val="24"/>
        </w:rPr>
        <w:t xml:space="preserve">After </w:t>
      </w:r>
      <w:r>
        <w:rPr>
          <w:rFonts w:ascii="Times New Roman" w:hAnsi="Times New Roman" w:cs="Times New Roman"/>
          <w:sz w:val="24"/>
          <w:szCs w:val="24"/>
        </w:rPr>
        <w:t>Al-Adahi</w:t>
      </w:r>
      <w:r w:rsidRPr="004A5E53">
        <w:rPr>
          <w:rFonts w:ascii="Times New Roman" w:hAnsi="Times New Roman" w:cs="Times New Roman"/>
          <w:sz w:val="24"/>
          <w:szCs w:val="24"/>
        </w:rPr>
        <w:t>, the courts accepted</w:t>
      </w:r>
      <w:r>
        <w:rPr>
          <w:rFonts w:ascii="Times New Roman" w:hAnsi="Times New Roman" w:cs="Times New Roman"/>
          <w:sz w:val="24"/>
          <w:szCs w:val="24"/>
        </w:rPr>
        <w:t xml:space="preserve"> the allegation 5 out of 9 times or 56% of the time.  Finally, </w:t>
      </w:r>
      <w:r w:rsidRPr="004A5E53">
        <w:rPr>
          <w:rFonts w:ascii="Times New Roman" w:hAnsi="Times New Roman" w:cs="Times New Roman"/>
          <w:sz w:val="24"/>
          <w:szCs w:val="24"/>
        </w:rPr>
        <w:t xml:space="preserve">before </w:t>
      </w:r>
      <w:r>
        <w:rPr>
          <w:rFonts w:ascii="Times New Roman" w:hAnsi="Times New Roman" w:cs="Times New Roman"/>
          <w:i/>
          <w:sz w:val="24"/>
          <w:szCs w:val="24"/>
        </w:rPr>
        <w:t>Al-Adahi</w:t>
      </w:r>
      <w:r w:rsidRPr="00667CBE">
        <w:rPr>
          <w:rFonts w:ascii="Times New Roman" w:hAnsi="Times New Roman" w:cs="Times New Roman"/>
          <w:sz w:val="24"/>
          <w:szCs w:val="24"/>
        </w:rPr>
        <w:t xml:space="preserve">, </w:t>
      </w:r>
      <w:r w:rsidRPr="004A5E53">
        <w:rPr>
          <w:rFonts w:ascii="Times New Roman" w:hAnsi="Times New Roman" w:cs="Times New Roman"/>
          <w:sz w:val="24"/>
          <w:szCs w:val="24"/>
        </w:rPr>
        <w:t>district courts were silent 19% of the time</w:t>
      </w:r>
      <w:r>
        <w:rPr>
          <w:rFonts w:ascii="Times New Roman" w:hAnsi="Times New Roman" w:cs="Times New Roman"/>
          <w:sz w:val="24"/>
          <w:szCs w:val="24"/>
        </w:rPr>
        <w:t xml:space="preserve"> (5 out of 27) and</w:t>
      </w:r>
      <w:r w:rsidRPr="004A5E53">
        <w:rPr>
          <w:rFonts w:ascii="Times New Roman" w:hAnsi="Times New Roman" w:cs="Times New Roman"/>
          <w:sz w:val="24"/>
          <w:szCs w:val="24"/>
        </w:rPr>
        <w:t xml:space="preserve"> </w:t>
      </w:r>
      <w:r>
        <w:rPr>
          <w:rFonts w:ascii="Times New Roman" w:hAnsi="Times New Roman" w:cs="Times New Roman"/>
          <w:sz w:val="24"/>
          <w:szCs w:val="24"/>
        </w:rPr>
        <w:t xml:space="preserve">were silent </w:t>
      </w:r>
      <w:r w:rsidRPr="004A5E53">
        <w:rPr>
          <w:rFonts w:ascii="Times New Roman" w:hAnsi="Times New Roman" w:cs="Times New Roman"/>
          <w:sz w:val="24"/>
          <w:szCs w:val="24"/>
        </w:rPr>
        <w:t>22% of the time</w:t>
      </w:r>
      <w:r>
        <w:rPr>
          <w:rFonts w:ascii="Times New Roman" w:hAnsi="Times New Roman" w:cs="Times New Roman"/>
          <w:sz w:val="24"/>
          <w:szCs w:val="24"/>
        </w:rPr>
        <w:t xml:space="preserve"> (2 out of 9) after.</w:t>
      </w:r>
    </w:p>
    <w:p w:rsidR="003440A5" w:rsidRDefault="001017B6" w:rsidP="000130BA">
      <w:pPr>
        <w:spacing w:after="240" w:line="240" w:lineRule="auto"/>
        <w:jc w:val="center"/>
        <w:rPr>
          <w:rFonts w:ascii="Times New Roman" w:eastAsia="Times New Roman" w:hAnsi="Times New Roman" w:cs="Times New Roman"/>
          <w:sz w:val="24"/>
          <w:szCs w:val="24"/>
        </w:rPr>
        <w:sectPr w:rsidR="003440A5" w:rsidSect="00162698">
          <w:footerReference w:type="default" r:id="rId24"/>
          <w:type w:val="continuous"/>
          <w:pgSz w:w="12240" w:h="15840"/>
          <w:pgMar w:top="1440" w:right="1440" w:bottom="1440" w:left="1440" w:header="720" w:footer="720" w:gutter="0"/>
          <w:pgNumType w:start="1"/>
          <w:cols w:space="720"/>
          <w:docGrid w:linePitch="360"/>
        </w:sectPr>
      </w:pPr>
      <w:r>
        <w:rPr>
          <w:noProof/>
        </w:rPr>
        <w:drawing>
          <wp:inline distT="0" distB="0" distL="0" distR="0">
            <wp:extent cx="2649722" cy="2296633"/>
            <wp:effectExtent l="19050" t="0" r="17278" b="8417"/>
            <wp:docPr id="1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162698">
        <w:rPr>
          <w:rFonts w:ascii="Times New Roman" w:eastAsia="Times New Roman" w:hAnsi="Times New Roman" w:cs="Times New Roman"/>
          <w:sz w:val="24"/>
          <w:szCs w:val="24"/>
        </w:rPr>
        <w:t xml:space="preserve">    </w:t>
      </w:r>
      <w:r>
        <w:rPr>
          <w:noProof/>
        </w:rPr>
        <w:drawing>
          <wp:inline distT="0" distB="0" distL="0" distR="0">
            <wp:extent cx="2639090" cy="2312183"/>
            <wp:effectExtent l="19050" t="0" r="27910" b="0"/>
            <wp:docPr id="1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10A3B" w:rsidRPr="004A5E53" w:rsidRDefault="00410A3B" w:rsidP="004A5E53">
      <w:pPr>
        <w:spacing w:after="240" w:line="240" w:lineRule="auto"/>
        <w:jc w:val="both"/>
        <w:rPr>
          <w:rFonts w:ascii="Times New Roman" w:eastAsia="Times New Roman" w:hAnsi="Times New Roman" w:cs="Times New Roman"/>
          <w:b/>
          <w:sz w:val="24"/>
          <w:szCs w:val="24"/>
        </w:rPr>
      </w:pPr>
      <w:r w:rsidRPr="004A5E53">
        <w:rPr>
          <w:rFonts w:ascii="Times New Roman" w:eastAsia="Times New Roman" w:hAnsi="Times New Roman" w:cs="Times New Roman"/>
          <w:b/>
          <w:sz w:val="24"/>
          <w:szCs w:val="24"/>
        </w:rPr>
        <w:t>V.</w:t>
      </w:r>
      <w:r w:rsidRPr="004A5E53">
        <w:rPr>
          <w:rFonts w:ascii="Times New Roman" w:eastAsia="Times New Roman" w:hAnsi="Times New Roman" w:cs="Times New Roman"/>
          <w:b/>
          <w:sz w:val="24"/>
          <w:szCs w:val="24"/>
        </w:rPr>
        <w:tab/>
        <w:t>Conclusion</w:t>
      </w:r>
    </w:p>
    <w:p w:rsidR="00410A3B" w:rsidRPr="004A5E53" w:rsidRDefault="00B251F3" w:rsidP="004A5E5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Despite the Supreme Court’s recognition of a right to habeas and meaningful review for Guantanamo detainees, this Report reveals the current trend of district court deferential fact finding after the D.C. Circuit’s decision in </w:t>
      </w:r>
      <w:r>
        <w:rPr>
          <w:rFonts w:ascii="Times New Roman" w:hAnsi="Times New Roman" w:cs="Times New Roman"/>
          <w:i/>
          <w:sz w:val="24"/>
          <w:szCs w:val="24"/>
        </w:rPr>
        <w:t>Al-Adahi</w:t>
      </w:r>
      <w:r>
        <w:rPr>
          <w:rFonts w:ascii="Times New Roman" w:hAnsi="Times New Roman" w:cs="Times New Roman"/>
          <w:sz w:val="24"/>
          <w:szCs w:val="24"/>
        </w:rPr>
        <w:t xml:space="preserve">.  The observation that detainees went from being more likely than not to succeed in their petition to losing every time should be enough to confirm this trend, and yet there is more data to back up this assertion.  A thorough analysis of the government’s factual allegations and the district courts’ reactions show judicial deference to the government is the new norm.  Whether this trend will continue remains to be seen, but </w:t>
      </w:r>
      <w:r w:rsidR="00192ACB">
        <w:rPr>
          <w:rFonts w:ascii="Times New Roman" w:hAnsi="Times New Roman" w:cs="Times New Roman"/>
          <w:sz w:val="24"/>
          <w:szCs w:val="24"/>
        </w:rPr>
        <w:t xml:space="preserve">the D.C. Circuit’s opinion in </w:t>
      </w:r>
      <w:r w:rsidR="00192ACB">
        <w:rPr>
          <w:rFonts w:ascii="Times New Roman" w:hAnsi="Times New Roman" w:cs="Times New Roman"/>
          <w:i/>
          <w:sz w:val="24"/>
          <w:szCs w:val="24"/>
        </w:rPr>
        <w:t>Latif</w:t>
      </w:r>
      <w:r w:rsidR="00192ACB">
        <w:rPr>
          <w:rFonts w:ascii="Times New Roman" w:hAnsi="Times New Roman" w:cs="Times New Roman"/>
          <w:sz w:val="24"/>
          <w:szCs w:val="24"/>
        </w:rPr>
        <w:t xml:space="preserve"> may have served as the confirmation that </w:t>
      </w:r>
      <w:r w:rsidR="00AC303D">
        <w:rPr>
          <w:rFonts w:ascii="Times New Roman" w:hAnsi="Times New Roman" w:cs="Times New Roman"/>
          <w:sz w:val="24"/>
          <w:szCs w:val="24"/>
        </w:rPr>
        <w:t xml:space="preserve">meaningful review is out, and </w:t>
      </w:r>
      <w:r w:rsidR="00192ACB">
        <w:rPr>
          <w:rFonts w:ascii="Times New Roman" w:hAnsi="Times New Roman" w:cs="Times New Roman"/>
          <w:sz w:val="24"/>
          <w:szCs w:val="24"/>
        </w:rPr>
        <w:t>deference to the government’s evidence is here to stay.</w:t>
      </w:r>
    </w:p>
    <w:sectPr w:rsidR="00410A3B" w:rsidRPr="004A5E53" w:rsidSect="003440A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69" w:rsidRDefault="00B60769" w:rsidP="00A55757">
      <w:pPr>
        <w:spacing w:after="0" w:line="240" w:lineRule="auto"/>
      </w:pPr>
      <w:r>
        <w:separator/>
      </w:r>
    </w:p>
  </w:endnote>
  <w:endnote w:type="continuationSeparator" w:id="0">
    <w:p w:rsidR="00B60769" w:rsidRDefault="00B60769" w:rsidP="00A5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Bold">
    <w:altName w:val="Segoe UI Semibold"/>
    <w:charset w:val="00"/>
    <w:family w:val="auto"/>
    <w:pitch w:val="variable"/>
    <w:sig w:usb0="00000001" w:usb1="00000000" w:usb2="00000000" w:usb3="00000000" w:csb0="00000003" w:csb1="00000000"/>
  </w:font>
  <w:font w:name="MS Sans Serif">
    <w:altName w:val="Arial"/>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F3" w:rsidRPr="009F7DAC" w:rsidRDefault="00B251F3">
    <w:pPr>
      <w:pStyle w:val="Footer"/>
      <w:jc w:val="center"/>
      <w:rPr>
        <w:rFonts w:ascii="Times New Roman" w:hAnsi="Times New Roman" w:cs="Times New Roman"/>
      </w:rPr>
    </w:pPr>
  </w:p>
  <w:p w:rsidR="00B251F3" w:rsidRDefault="00B251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8492"/>
      <w:docPartObj>
        <w:docPartGallery w:val="Page Numbers (Bottom of Page)"/>
        <w:docPartUnique/>
      </w:docPartObj>
    </w:sdtPr>
    <w:sdtEndPr/>
    <w:sdtContent>
      <w:p w:rsidR="00B251F3" w:rsidRPr="009F7DAC" w:rsidRDefault="00B251F3">
        <w:pPr>
          <w:pStyle w:val="Footer"/>
          <w:jc w:val="center"/>
          <w:rPr>
            <w:rFonts w:ascii="Times New Roman" w:hAnsi="Times New Roman" w:cs="Times New Roman"/>
          </w:rPr>
        </w:pPr>
        <w:r w:rsidRPr="009F7DAC">
          <w:rPr>
            <w:rFonts w:ascii="Times New Roman" w:hAnsi="Times New Roman" w:cs="Times New Roman"/>
          </w:rPr>
          <w:fldChar w:fldCharType="begin"/>
        </w:r>
        <w:r w:rsidRPr="009F7DAC">
          <w:rPr>
            <w:rFonts w:ascii="Times New Roman" w:hAnsi="Times New Roman" w:cs="Times New Roman"/>
          </w:rPr>
          <w:instrText xml:space="preserve"> PAGE   \* MERGEFORMAT </w:instrText>
        </w:r>
        <w:r w:rsidRPr="009F7DAC">
          <w:rPr>
            <w:rFonts w:ascii="Times New Roman" w:hAnsi="Times New Roman" w:cs="Times New Roman"/>
          </w:rPr>
          <w:fldChar w:fldCharType="separate"/>
        </w:r>
        <w:r w:rsidR="00974349">
          <w:rPr>
            <w:rFonts w:ascii="Times New Roman" w:hAnsi="Times New Roman" w:cs="Times New Roman"/>
            <w:noProof/>
          </w:rPr>
          <w:t>2</w:t>
        </w:r>
        <w:r w:rsidRPr="009F7DAC">
          <w:rPr>
            <w:rFonts w:ascii="Times New Roman" w:hAnsi="Times New Roman" w:cs="Times New Roman"/>
          </w:rPr>
          <w:fldChar w:fldCharType="end"/>
        </w:r>
      </w:p>
    </w:sdtContent>
  </w:sdt>
  <w:p w:rsidR="00B251F3" w:rsidRDefault="00B25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69" w:rsidRDefault="00B60769" w:rsidP="00A55757">
      <w:pPr>
        <w:spacing w:after="0" w:line="240" w:lineRule="auto"/>
      </w:pPr>
      <w:r>
        <w:separator/>
      </w:r>
    </w:p>
  </w:footnote>
  <w:footnote w:type="continuationSeparator" w:id="0">
    <w:p w:rsidR="00B60769" w:rsidRDefault="00B60769" w:rsidP="00A55757">
      <w:pPr>
        <w:spacing w:after="0" w:line="240" w:lineRule="auto"/>
      </w:pPr>
      <w:r>
        <w:continuationSeparator/>
      </w:r>
    </w:p>
  </w:footnote>
  <w:footnote w:id="1">
    <w:p w:rsidR="00B251F3" w:rsidRPr="0023137F" w:rsidRDefault="00B251F3" w:rsidP="004E5B11">
      <w:pPr>
        <w:pStyle w:val="FootnoteText"/>
        <w:rPr>
          <w:rFonts w:ascii="Times New Roman" w:hAnsi="Times New Roman" w:cs="Times New Roman"/>
        </w:rPr>
      </w:pPr>
      <w:r w:rsidRPr="007F6B33">
        <w:rPr>
          <w:rStyle w:val="FootnoteReference"/>
          <w:rFonts w:ascii="Times New Roman" w:hAnsi="Times New Roman" w:cs="Times New Roman"/>
        </w:rPr>
        <w:footnoteRef/>
      </w:r>
      <w:r w:rsidRPr="007F6B33">
        <w:rPr>
          <w:rFonts w:ascii="Times New Roman" w:hAnsi="Times New Roman" w:cs="Times New Roman"/>
        </w:rPr>
        <w:t xml:space="preserve"> </w:t>
      </w:r>
      <w:r w:rsidRPr="0023137F">
        <w:rPr>
          <w:rFonts w:ascii="Times New Roman" w:hAnsi="Times New Roman" w:cs="Times New Roman"/>
        </w:rPr>
        <w:t>553 U.S. 723 (2008).</w:t>
      </w:r>
    </w:p>
  </w:footnote>
  <w:footnote w:id="2">
    <w:p w:rsidR="00B251F3" w:rsidRPr="0023137F" w:rsidRDefault="00B251F3">
      <w:pPr>
        <w:pStyle w:val="FootnoteText"/>
        <w:rPr>
          <w:rFonts w:ascii="Times New Roman" w:hAnsi="Times New Roman" w:cs="Times New Roman"/>
        </w:rPr>
      </w:pPr>
      <w:r w:rsidRPr="0023137F">
        <w:rPr>
          <w:rStyle w:val="FootnoteReference"/>
          <w:rFonts w:ascii="Times New Roman" w:hAnsi="Times New Roman" w:cs="Times New Roman"/>
        </w:rPr>
        <w:footnoteRef/>
      </w:r>
      <w:r w:rsidRPr="0023137F">
        <w:rPr>
          <w:rFonts w:ascii="Times New Roman" w:hAnsi="Times New Roman" w:cs="Times New Roman"/>
        </w:rPr>
        <w:t xml:space="preserve"> 613 F.3d 1102 (D.C. Cir. 2010).</w:t>
      </w:r>
    </w:p>
  </w:footnote>
  <w:footnote w:id="3">
    <w:p w:rsidR="00B251F3" w:rsidRDefault="00B251F3">
      <w:pPr>
        <w:pStyle w:val="FootnoteText"/>
      </w:pPr>
      <w:r w:rsidRPr="0023137F">
        <w:rPr>
          <w:rStyle w:val="FootnoteReference"/>
          <w:rFonts w:ascii="Times New Roman" w:hAnsi="Times New Roman" w:cs="Times New Roman"/>
        </w:rPr>
        <w:footnoteRef/>
      </w:r>
      <w:r w:rsidRPr="0023137F">
        <w:rPr>
          <w:rFonts w:ascii="Times New Roman" w:hAnsi="Times New Roman" w:cs="Times New Roman"/>
        </w:rPr>
        <w:t xml:space="preserve"> 666 F.3d 746 (D.C. Cir. 2011).</w:t>
      </w:r>
    </w:p>
  </w:footnote>
  <w:footnote w:id="4">
    <w:p w:rsidR="00B251F3" w:rsidRPr="005E0748" w:rsidRDefault="00B251F3">
      <w:pPr>
        <w:pStyle w:val="FootnoteText"/>
        <w:rPr>
          <w:rFonts w:ascii="Times New Roman" w:hAnsi="Times New Roman" w:cs="Times New Roman"/>
        </w:rPr>
      </w:pPr>
      <w:r w:rsidRPr="0023137F">
        <w:rPr>
          <w:rStyle w:val="FootnoteReference"/>
          <w:rFonts w:ascii="Times New Roman" w:hAnsi="Times New Roman" w:cs="Times New Roman"/>
        </w:rPr>
        <w:footnoteRef/>
      </w:r>
      <w:r w:rsidRPr="0023137F">
        <w:rPr>
          <w:rFonts w:ascii="Times New Roman" w:hAnsi="Times New Roman" w:cs="Times New Roman"/>
        </w:rPr>
        <w:t xml:space="preserve"> The five </w:t>
      </w:r>
      <w:r w:rsidRPr="005E0748">
        <w:rPr>
          <w:rFonts w:ascii="Times New Roman" w:hAnsi="Times New Roman" w:cs="Times New Roman"/>
        </w:rPr>
        <w:t xml:space="preserve">grants mentioned in this sentence had already been decided at the district court level when the D.C. Circuit decided </w:t>
      </w:r>
      <w:r w:rsidRPr="005E0748">
        <w:rPr>
          <w:rFonts w:ascii="Times New Roman" w:hAnsi="Times New Roman" w:cs="Times New Roman"/>
          <w:i/>
        </w:rPr>
        <w:t>Al Adahi</w:t>
      </w:r>
      <w:r w:rsidRPr="005E0748">
        <w:rPr>
          <w:rFonts w:ascii="Times New Roman" w:hAnsi="Times New Roman" w:cs="Times New Roman"/>
        </w:rPr>
        <w:t>.</w:t>
      </w:r>
    </w:p>
  </w:footnote>
  <w:footnote w:id="5">
    <w:p w:rsidR="00B251F3" w:rsidRPr="005E0748" w:rsidRDefault="00B251F3">
      <w:pPr>
        <w:pStyle w:val="FootnoteText"/>
        <w:rPr>
          <w:rFonts w:ascii="Times New Roman" w:hAnsi="Times New Roman" w:cs="Times New Roman"/>
        </w:rPr>
      </w:pPr>
      <w:r w:rsidRPr="005E0748">
        <w:rPr>
          <w:rStyle w:val="FootnoteReference"/>
          <w:rFonts w:ascii="Times New Roman" w:hAnsi="Times New Roman" w:cs="Times New Roman"/>
        </w:rPr>
        <w:footnoteRef/>
      </w:r>
      <w:r w:rsidRPr="005E0748">
        <w:rPr>
          <w:rFonts w:ascii="Times New Roman" w:hAnsi="Times New Roman" w:cs="Times New Roman"/>
        </w:rPr>
        <w:t xml:space="preserve"> Sixty-three detainees have had cases resulting in opinions, some of which were consolidated opinions.  The Uighers are excluded from this analysis because the government conceded their case so the </w:t>
      </w:r>
      <w:r>
        <w:rPr>
          <w:rFonts w:ascii="Times New Roman" w:hAnsi="Times New Roman" w:cs="Times New Roman"/>
        </w:rPr>
        <w:t>district court</w:t>
      </w:r>
      <w:r w:rsidRPr="005E0748">
        <w:rPr>
          <w:rFonts w:ascii="Times New Roman" w:hAnsi="Times New Roman" w:cs="Times New Roman"/>
        </w:rPr>
        <w:t xml:space="preserve"> did not have to make factual findings.</w:t>
      </w:r>
    </w:p>
  </w:footnote>
  <w:footnote w:id="6">
    <w:p w:rsidR="00B251F3" w:rsidRDefault="00B251F3">
      <w:pPr>
        <w:pStyle w:val="FootnoteText"/>
      </w:pPr>
      <w:r w:rsidRPr="005E0748">
        <w:rPr>
          <w:rStyle w:val="FootnoteReference"/>
          <w:rFonts w:ascii="Times New Roman" w:hAnsi="Times New Roman" w:cs="Times New Roman"/>
        </w:rPr>
        <w:footnoteRef/>
      </w:r>
      <w:r w:rsidRPr="005E0748">
        <w:rPr>
          <w:rFonts w:ascii="Times New Roman" w:hAnsi="Times New Roman" w:cs="Times New Roman"/>
        </w:rPr>
        <w:t xml:space="preserve"> The Center used only </w:t>
      </w:r>
      <w:r>
        <w:rPr>
          <w:rFonts w:ascii="Times New Roman" w:hAnsi="Times New Roman" w:cs="Times New Roman"/>
        </w:rPr>
        <w:t xml:space="preserve">district </w:t>
      </w:r>
      <w:r w:rsidRPr="005E0748">
        <w:rPr>
          <w:rFonts w:ascii="Times New Roman" w:hAnsi="Times New Roman" w:cs="Times New Roman"/>
        </w:rPr>
        <w:t>court o</w:t>
      </w:r>
      <w:r>
        <w:rPr>
          <w:rFonts w:ascii="Times New Roman" w:hAnsi="Times New Roman" w:cs="Times New Roman"/>
        </w:rPr>
        <w:t>pinions to develop this Report;</w:t>
      </w:r>
      <w:r w:rsidRPr="005E0748">
        <w:rPr>
          <w:rFonts w:ascii="Times New Roman" w:hAnsi="Times New Roman" w:cs="Times New Roman"/>
        </w:rPr>
        <w:t xml:space="preserve"> as a result, the only allegations reflected in it are those contained in the opinions.</w:t>
      </w:r>
    </w:p>
  </w:footnote>
  <w:footnote w:id="7">
    <w:p w:rsidR="00B251F3" w:rsidRPr="0080294A" w:rsidRDefault="00B251F3">
      <w:pPr>
        <w:pStyle w:val="FootnoteText"/>
        <w:rPr>
          <w:rFonts w:ascii="Times New Roman" w:hAnsi="Times New Roman" w:cs="Times New Roman"/>
        </w:rPr>
      </w:pPr>
      <w:r w:rsidRPr="0080294A">
        <w:rPr>
          <w:rStyle w:val="FootnoteReference"/>
          <w:rFonts w:ascii="Times New Roman" w:hAnsi="Times New Roman" w:cs="Times New Roman"/>
        </w:rPr>
        <w:footnoteRef/>
      </w:r>
      <w:r w:rsidRPr="0080294A">
        <w:rPr>
          <w:rFonts w:ascii="Times New Roman" w:hAnsi="Times New Roman" w:cs="Times New Roman"/>
        </w:rPr>
        <w:t xml:space="preserve"> 553 U.S. 723 (2008).</w:t>
      </w:r>
    </w:p>
  </w:footnote>
  <w:footnote w:id="8">
    <w:p w:rsidR="00B251F3" w:rsidRPr="004A5E53" w:rsidRDefault="00B251F3" w:rsidP="00860829">
      <w:pPr>
        <w:pStyle w:val="FootnoteText"/>
        <w:rPr>
          <w:rFonts w:ascii="Times New Roman" w:hAnsi="Times New Roman" w:cs="Times New Roman"/>
        </w:rPr>
      </w:pPr>
      <w:r w:rsidRPr="0080294A">
        <w:rPr>
          <w:rStyle w:val="FootnoteReference"/>
          <w:rFonts w:ascii="Times New Roman" w:hAnsi="Times New Roman" w:cs="Times New Roman"/>
        </w:rPr>
        <w:footnoteRef/>
      </w:r>
      <w:r w:rsidRPr="0080294A">
        <w:rPr>
          <w:rFonts w:ascii="Times New Roman" w:hAnsi="Times New Roman" w:cs="Times New Roman"/>
        </w:rPr>
        <w:t xml:space="preserve"> </w:t>
      </w:r>
      <w:r w:rsidRPr="0080294A">
        <w:rPr>
          <w:rFonts w:ascii="Times New Roman" w:hAnsi="Times New Roman" w:cs="Times New Roman"/>
          <w:i/>
        </w:rPr>
        <w:t xml:space="preserve">See </w:t>
      </w:r>
      <w:r w:rsidRPr="0080294A">
        <w:rPr>
          <w:rFonts w:ascii="Times New Roman" w:hAnsi="Times New Roman" w:cs="Times New Roman"/>
          <w:smallCaps/>
        </w:rPr>
        <w:t>Dep’t of Defense,</w:t>
      </w:r>
      <w:r w:rsidRPr="004A5E53">
        <w:rPr>
          <w:rFonts w:ascii="Times New Roman" w:hAnsi="Times New Roman" w:cs="Times New Roman"/>
          <w:smallCaps/>
        </w:rPr>
        <w:t xml:space="preserve"> Combatant Status Review Tribunal Order</w:t>
      </w:r>
      <w:r w:rsidRPr="004A5E53">
        <w:rPr>
          <w:rFonts w:ascii="Times New Roman" w:hAnsi="Times New Roman" w:cs="Times New Roman"/>
        </w:rPr>
        <w:t xml:space="preserve"> (2004), </w:t>
      </w:r>
      <w:r w:rsidRPr="004A5E53">
        <w:rPr>
          <w:rFonts w:ascii="Times New Roman" w:hAnsi="Times New Roman" w:cs="Times New Roman"/>
          <w:i/>
        </w:rPr>
        <w:t xml:space="preserve">available at </w:t>
      </w:r>
      <w:r w:rsidRPr="004A5E53">
        <w:rPr>
          <w:rFonts w:ascii="Times New Roman" w:hAnsi="Times New Roman" w:cs="Times New Roman"/>
        </w:rPr>
        <w:t>http://www.defense.gov/releases/release.aspx?releaseid=7530.</w:t>
      </w:r>
    </w:p>
  </w:footnote>
  <w:footnote w:id="9">
    <w:p w:rsidR="00B251F3" w:rsidRPr="004A5E53" w:rsidRDefault="00B251F3">
      <w:pPr>
        <w:pStyle w:val="FootnoteText"/>
        <w:rPr>
          <w:rFonts w:ascii="Times New Roman" w:hAnsi="Times New Roman" w:cs="Times New Roman"/>
        </w:rPr>
      </w:pPr>
      <w:r w:rsidRPr="004A5E53">
        <w:rPr>
          <w:rStyle w:val="FootnoteReference"/>
          <w:rFonts w:ascii="Times New Roman" w:hAnsi="Times New Roman" w:cs="Times New Roman"/>
        </w:rPr>
        <w:footnoteRef/>
      </w:r>
      <w:r w:rsidRPr="004A5E53">
        <w:rPr>
          <w:rFonts w:ascii="Times New Roman" w:hAnsi="Times New Roman" w:cs="Times New Roman"/>
        </w:rPr>
        <w:t xml:space="preserve"> </w:t>
      </w:r>
      <w:r w:rsidRPr="004A5E53">
        <w:rPr>
          <w:rFonts w:ascii="Times New Roman" w:hAnsi="Times New Roman" w:cs="Times New Roman"/>
          <w:i/>
        </w:rPr>
        <w:t>See</w:t>
      </w:r>
      <w:r w:rsidRPr="004A5E53">
        <w:rPr>
          <w:rFonts w:ascii="Times New Roman" w:hAnsi="Times New Roman" w:cs="Times New Roman"/>
        </w:rPr>
        <w:t xml:space="preserve"> Detainee Treatment Act of 2005, Pub. L. 109-148, Div. A, Title X, 119 Stat. 2739, § 1005(e).</w:t>
      </w:r>
    </w:p>
  </w:footnote>
  <w:footnote w:id="10">
    <w:p w:rsidR="00B251F3" w:rsidRPr="004A5E53" w:rsidRDefault="00B251F3">
      <w:pPr>
        <w:pStyle w:val="FootnoteText"/>
        <w:rPr>
          <w:rFonts w:ascii="Times New Roman" w:hAnsi="Times New Roman" w:cs="Times New Roman"/>
        </w:rPr>
      </w:pPr>
      <w:r w:rsidRPr="004A5E53">
        <w:rPr>
          <w:rStyle w:val="FootnoteReference"/>
          <w:rFonts w:ascii="Times New Roman" w:hAnsi="Times New Roman" w:cs="Times New Roman"/>
        </w:rPr>
        <w:footnoteRef/>
      </w:r>
      <w:r w:rsidRPr="004A5E53">
        <w:rPr>
          <w:rFonts w:ascii="Times New Roman" w:hAnsi="Times New Roman" w:cs="Times New Roman"/>
        </w:rPr>
        <w:t xml:space="preserve"> </w:t>
      </w:r>
      <w:r w:rsidRPr="004A5E53">
        <w:rPr>
          <w:rFonts w:ascii="Times New Roman" w:hAnsi="Times New Roman" w:cs="Times New Roman"/>
          <w:i/>
        </w:rPr>
        <w:t xml:space="preserve">See </w:t>
      </w:r>
      <w:r w:rsidRPr="004A5E53">
        <w:rPr>
          <w:rFonts w:ascii="Times New Roman" w:hAnsi="Times New Roman" w:cs="Times New Roman"/>
        </w:rPr>
        <w:t>Military Commissions Act of 2006, Pub. L. No. 109-366, 120 Stat. 2600 (codified in 28 U.S.C. § 2241(e)(1)–(2)).</w:t>
      </w:r>
    </w:p>
  </w:footnote>
  <w:footnote w:id="11">
    <w:p w:rsidR="00B251F3" w:rsidRPr="004A5E53" w:rsidRDefault="00B251F3">
      <w:pPr>
        <w:pStyle w:val="FootnoteText"/>
        <w:rPr>
          <w:rFonts w:ascii="Times New Roman" w:hAnsi="Times New Roman" w:cs="Times New Roman"/>
        </w:rPr>
      </w:pPr>
      <w:r w:rsidRPr="004A5E53">
        <w:rPr>
          <w:rStyle w:val="FootnoteReference"/>
          <w:rFonts w:ascii="Times New Roman" w:hAnsi="Times New Roman" w:cs="Times New Roman"/>
        </w:rPr>
        <w:footnoteRef/>
      </w:r>
      <w:r w:rsidRPr="004A5E53">
        <w:rPr>
          <w:rFonts w:ascii="Times New Roman" w:hAnsi="Times New Roman" w:cs="Times New Roman"/>
        </w:rPr>
        <w:t xml:space="preserve"> 553 U.S. 723 (2008).</w:t>
      </w:r>
    </w:p>
  </w:footnote>
  <w:footnote w:id="12">
    <w:p w:rsidR="00B251F3" w:rsidRPr="004A5E53" w:rsidRDefault="00B251F3" w:rsidP="00E62634">
      <w:pPr>
        <w:pStyle w:val="FootnoteText"/>
        <w:rPr>
          <w:rFonts w:ascii="Times New Roman" w:hAnsi="Times New Roman" w:cs="Times New Roman"/>
        </w:rPr>
      </w:pPr>
      <w:r w:rsidRPr="004A5E53">
        <w:rPr>
          <w:rStyle w:val="FootnoteReference"/>
          <w:rFonts w:ascii="Times New Roman" w:hAnsi="Times New Roman" w:cs="Times New Roman"/>
        </w:rPr>
        <w:footnoteRef/>
      </w:r>
      <w:r w:rsidRPr="004A5E53">
        <w:rPr>
          <w:rFonts w:ascii="Times New Roman" w:hAnsi="Times New Roman" w:cs="Times New Roman"/>
        </w:rPr>
        <w:t xml:space="preserve"> </w:t>
      </w:r>
      <w:r w:rsidRPr="004A5E53">
        <w:rPr>
          <w:rFonts w:ascii="Times New Roman" w:hAnsi="Times New Roman" w:cs="Times New Roman"/>
          <w:i/>
        </w:rPr>
        <w:t xml:space="preserve">See </w:t>
      </w:r>
      <w:r w:rsidRPr="004A5E53">
        <w:rPr>
          <w:rFonts w:ascii="Times New Roman" w:hAnsi="Times New Roman" w:cs="Times New Roman"/>
        </w:rPr>
        <w:t>Boumediene v. Bush, 553 U.S. 723, 771 (2008) (rejecting the government’s argument that the detainees could not have access to the writ because of their status as enemy combatants or because of their location in Guantanamo Bay).</w:t>
      </w:r>
    </w:p>
  </w:footnote>
  <w:footnote w:id="13">
    <w:p w:rsidR="00B251F3" w:rsidRPr="004A5E53" w:rsidRDefault="00B251F3">
      <w:pPr>
        <w:pStyle w:val="FootnoteText"/>
        <w:rPr>
          <w:rFonts w:ascii="Times New Roman" w:hAnsi="Times New Roman" w:cs="Times New Roman"/>
        </w:rPr>
      </w:pPr>
      <w:r w:rsidRPr="004A5E53">
        <w:rPr>
          <w:rStyle w:val="FootnoteReference"/>
          <w:rFonts w:ascii="Times New Roman" w:hAnsi="Times New Roman" w:cs="Times New Roman"/>
        </w:rPr>
        <w:footnoteRef/>
      </w:r>
      <w:r w:rsidRPr="004A5E53">
        <w:rPr>
          <w:rFonts w:ascii="Times New Roman" w:hAnsi="Times New Roman" w:cs="Times New Roman"/>
        </w:rPr>
        <w:t xml:space="preserve"> </w:t>
      </w:r>
      <w:r w:rsidRPr="004A5E53">
        <w:rPr>
          <w:rFonts w:ascii="Times New Roman" w:hAnsi="Times New Roman" w:cs="Times New Roman"/>
          <w:i/>
        </w:rPr>
        <w:t xml:space="preserve">See id. </w:t>
      </w:r>
      <w:r w:rsidRPr="004A5E53">
        <w:rPr>
          <w:rFonts w:ascii="Times New Roman" w:hAnsi="Times New Roman" w:cs="Times New Roman"/>
        </w:rPr>
        <w:t>at 771–72.</w:t>
      </w:r>
    </w:p>
  </w:footnote>
  <w:footnote w:id="14">
    <w:p w:rsidR="00B251F3" w:rsidRPr="00A72017" w:rsidRDefault="00B251F3" w:rsidP="006D4EDA">
      <w:pPr>
        <w:pStyle w:val="FootnoteText"/>
        <w:rPr>
          <w:rFonts w:ascii="Times New Roman" w:hAnsi="Times New Roman" w:cs="Times New Roman"/>
        </w:rPr>
      </w:pPr>
      <w:r w:rsidRPr="004A5E53">
        <w:rPr>
          <w:rStyle w:val="FootnoteReference"/>
          <w:rFonts w:ascii="Times New Roman" w:hAnsi="Times New Roman" w:cs="Times New Roman"/>
        </w:rPr>
        <w:footnoteRef/>
      </w:r>
      <w:r w:rsidRPr="004A5E53">
        <w:rPr>
          <w:rFonts w:ascii="Times New Roman" w:hAnsi="Times New Roman" w:cs="Times New Roman"/>
        </w:rPr>
        <w:t xml:space="preserve"> </w:t>
      </w:r>
      <w:r w:rsidRPr="00A72017">
        <w:rPr>
          <w:rFonts w:ascii="Times New Roman" w:hAnsi="Times New Roman" w:cs="Times New Roman"/>
          <w:i/>
        </w:rPr>
        <w:t xml:space="preserve">See id. </w:t>
      </w:r>
      <w:r>
        <w:rPr>
          <w:rFonts w:ascii="Times New Roman" w:hAnsi="Times New Roman" w:cs="Times New Roman"/>
        </w:rPr>
        <w:t>at 791 (noting detainee’s ability to request a new CSRT be convened in light of new evidence is “</w:t>
      </w:r>
      <w:r w:rsidRPr="006D4EDA">
        <w:rPr>
          <w:rFonts w:ascii="Times New Roman" w:hAnsi="Times New Roman" w:cs="Times New Roman"/>
        </w:rPr>
        <w:t>insufficient replacement for the factual review these detainees are entitled to</w:t>
      </w:r>
      <w:r>
        <w:rPr>
          <w:rFonts w:ascii="Times New Roman" w:hAnsi="Times New Roman" w:cs="Times New Roman"/>
        </w:rPr>
        <w:t xml:space="preserve"> receive through habeas corpus.”).</w:t>
      </w:r>
    </w:p>
  </w:footnote>
  <w:footnote w:id="15">
    <w:p w:rsidR="00B251F3" w:rsidRPr="00A72017" w:rsidRDefault="00B251F3">
      <w:pPr>
        <w:pStyle w:val="FootnoteText"/>
        <w:rPr>
          <w:rFonts w:ascii="Times New Roman" w:hAnsi="Times New Roman" w:cs="Times New Roman"/>
        </w:rPr>
      </w:pPr>
      <w:r w:rsidRPr="00A72017">
        <w:rPr>
          <w:rStyle w:val="FootnoteReference"/>
          <w:rFonts w:ascii="Times New Roman" w:hAnsi="Times New Roman" w:cs="Times New Roman"/>
        </w:rPr>
        <w:footnoteRef/>
      </w:r>
      <w:r w:rsidRPr="00A72017">
        <w:rPr>
          <w:rFonts w:ascii="Times New Roman" w:hAnsi="Times New Roman" w:cs="Times New Roman"/>
        </w:rPr>
        <w:t xml:space="preserve"> </w:t>
      </w:r>
      <w:r w:rsidRPr="00A72017">
        <w:rPr>
          <w:rFonts w:ascii="Times New Roman" w:hAnsi="Times New Roman" w:cs="Times New Roman"/>
          <w:i/>
        </w:rPr>
        <w:t>Id.</w:t>
      </w:r>
      <w:r w:rsidRPr="00A72017">
        <w:rPr>
          <w:rFonts w:ascii="Times New Roman" w:hAnsi="Times New Roman" w:cs="Times New Roman"/>
        </w:rPr>
        <w:t xml:space="preserve"> at 783.</w:t>
      </w:r>
      <w:r>
        <w:rPr>
          <w:rFonts w:ascii="Times New Roman" w:hAnsi="Times New Roman" w:cs="Times New Roman"/>
        </w:rPr>
        <w:t xml:space="preserve"> </w:t>
      </w:r>
    </w:p>
  </w:footnote>
  <w:footnote w:id="16">
    <w:p w:rsidR="00B251F3" w:rsidRPr="00571AF5" w:rsidRDefault="00B251F3" w:rsidP="006002C9">
      <w:pPr>
        <w:pStyle w:val="FootnoteText"/>
        <w:rPr>
          <w:rFonts w:ascii="Times New Roman" w:hAnsi="Times New Roman" w:cs="Times New Roman"/>
        </w:rPr>
      </w:pPr>
      <w:r w:rsidRPr="00571AF5">
        <w:rPr>
          <w:rStyle w:val="FootnoteReference"/>
          <w:rFonts w:ascii="Times New Roman" w:hAnsi="Times New Roman" w:cs="Times New Roman"/>
        </w:rPr>
        <w:footnoteRef/>
      </w:r>
      <w:r w:rsidRPr="00571AF5">
        <w:rPr>
          <w:rFonts w:ascii="Times New Roman" w:hAnsi="Times New Roman" w:cs="Times New Roman"/>
        </w:rPr>
        <w:t xml:space="preserve"> </w:t>
      </w:r>
      <w:r>
        <w:rPr>
          <w:rFonts w:ascii="Times New Roman" w:hAnsi="Times New Roman" w:cs="Times New Roman"/>
        </w:rPr>
        <w:t>Up to</w:t>
      </w:r>
      <w:r w:rsidRPr="00571AF5">
        <w:rPr>
          <w:rFonts w:ascii="Times New Roman" w:hAnsi="Times New Roman" w:cs="Times New Roman"/>
        </w:rPr>
        <w:t xml:space="preserve"> this point, the D.C. Circuit had only remanded one denial and affirmed </w:t>
      </w:r>
      <w:r>
        <w:rPr>
          <w:rFonts w:ascii="Times New Roman" w:hAnsi="Times New Roman" w:cs="Times New Roman"/>
        </w:rPr>
        <w:t>four</w:t>
      </w:r>
      <w:r w:rsidRPr="00571AF5">
        <w:rPr>
          <w:rFonts w:ascii="Times New Roman" w:hAnsi="Times New Roman" w:cs="Times New Roman"/>
        </w:rPr>
        <w:t xml:space="preserve"> denials.</w:t>
      </w:r>
    </w:p>
  </w:footnote>
  <w:footnote w:id="17">
    <w:p w:rsidR="00B251F3" w:rsidRPr="00BB240C" w:rsidRDefault="00B251F3" w:rsidP="006002C9">
      <w:pPr>
        <w:pStyle w:val="FootnoteText"/>
        <w:rPr>
          <w:rFonts w:ascii="Times New Roman" w:hAnsi="Times New Roman" w:cs="Times New Roman"/>
        </w:rPr>
      </w:pPr>
      <w:r w:rsidRPr="00BB240C">
        <w:rPr>
          <w:rStyle w:val="FootnoteReference"/>
          <w:rFonts w:ascii="Times New Roman" w:hAnsi="Times New Roman" w:cs="Times New Roman"/>
        </w:rPr>
        <w:footnoteRef/>
      </w:r>
      <w:r w:rsidRPr="00BB240C">
        <w:rPr>
          <w:rFonts w:ascii="Times New Roman" w:hAnsi="Times New Roman" w:cs="Times New Roman"/>
        </w:rPr>
        <w:t xml:space="preserve"> 613 F.3d 1102 (D.C. Cir. 2010).</w:t>
      </w:r>
    </w:p>
  </w:footnote>
  <w:footnote w:id="18">
    <w:p w:rsidR="00B251F3" w:rsidRPr="00BB240C" w:rsidRDefault="00B251F3" w:rsidP="006002C9">
      <w:pPr>
        <w:pStyle w:val="FootnoteText"/>
        <w:rPr>
          <w:rFonts w:ascii="Times New Roman" w:hAnsi="Times New Roman" w:cs="Times New Roman"/>
        </w:rPr>
      </w:pPr>
      <w:r w:rsidRPr="00BB240C">
        <w:rPr>
          <w:rStyle w:val="FootnoteReference"/>
          <w:rFonts w:ascii="Times New Roman" w:hAnsi="Times New Roman" w:cs="Times New Roman"/>
        </w:rPr>
        <w:footnoteRef/>
      </w:r>
      <w:r w:rsidRPr="00BB240C">
        <w:rPr>
          <w:rFonts w:ascii="Times New Roman" w:hAnsi="Times New Roman" w:cs="Times New Roman"/>
        </w:rPr>
        <w:t xml:space="preserve"> </w:t>
      </w:r>
      <w:r w:rsidRPr="00BB240C">
        <w:rPr>
          <w:rFonts w:ascii="Times New Roman" w:hAnsi="Times New Roman" w:cs="Times New Roman"/>
          <w:i/>
        </w:rPr>
        <w:t xml:space="preserve">See </w:t>
      </w:r>
      <w:r w:rsidRPr="00571AF5">
        <w:rPr>
          <w:rFonts w:ascii="Times New Roman" w:hAnsi="Times New Roman" w:cs="Times New Roman"/>
        </w:rPr>
        <w:t>Al-Adahi</w:t>
      </w:r>
      <w:r w:rsidRPr="004A5E53">
        <w:rPr>
          <w:rFonts w:ascii="Times New Roman" w:hAnsi="Times New Roman" w:cs="Times New Roman"/>
        </w:rPr>
        <w:t xml:space="preserve"> v. Obama, 613 F.</w:t>
      </w:r>
      <w:r>
        <w:rPr>
          <w:rFonts w:ascii="Times New Roman" w:hAnsi="Times New Roman" w:cs="Times New Roman"/>
        </w:rPr>
        <w:t>3d 1102, 1103 (D.C. Cir. 2010).</w:t>
      </w:r>
    </w:p>
  </w:footnote>
  <w:footnote w:id="19">
    <w:p w:rsidR="00B251F3" w:rsidRPr="004C70D0" w:rsidRDefault="00B251F3" w:rsidP="006002C9">
      <w:pPr>
        <w:pStyle w:val="FootnoteText"/>
        <w:rPr>
          <w:rFonts w:ascii="Times New Roman" w:hAnsi="Times New Roman" w:cs="Times New Roman"/>
        </w:rPr>
      </w:pPr>
      <w:r w:rsidRPr="00BB240C">
        <w:rPr>
          <w:rStyle w:val="FootnoteReference"/>
          <w:rFonts w:ascii="Times New Roman" w:hAnsi="Times New Roman" w:cs="Times New Roman"/>
        </w:rPr>
        <w:footnoteRef/>
      </w:r>
      <w:r w:rsidRPr="00BB240C">
        <w:rPr>
          <w:rFonts w:ascii="Times New Roman" w:hAnsi="Times New Roman" w:cs="Times New Roman"/>
        </w:rPr>
        <w:t xml:space="preserve"> </w:t>
      </w:r>
      <w:r w:rsidRPr="00BB240C">
        <w:rPr>
          <w:rFonts w:ascii="Times New Roman" w:hAnsi="Times New Roman" w:cs="Times New Roman"/>
          <w:i/>
        </w:rPr>
        <w:t>See id.</w:t>
      </w:r>
      <w:r w:rsidRPr="00BB240C">
        <w:rPr>
          <w:rFonts w:ascii="Times New Roman" w:hAnsi="Times New Roman" w:cs="Times New Roman"/>
        </w:rPr>
        <w:t xml:space="preserve"> </w:t>
      </w:r>
    </w:p>
  </w:footnote>
  <w:footnote w:id="20">
    <w:p w:rsidR="00B251F3" w:rsidRPr="004C70D0" w:rsidRDefault="00B251F3" w:rsidP="006002C9">
      <w:pPr>
        <w:pStyle w:val="FootnoteText"/>
        <w:rPr>
          <w:rFonts w:ascii="Times New Roman" w:hAnsi="Times New Roman" w:cs="Times New Roman"/>
          <w:i/>
        </w:rPr>
      </w:pPr>
      <w:r w:rsidRPr="004C70D0">
        <w:rPr>
          <w:rStyle w:val="FootnoteReference"/>
          <w:rFonts w:ascii="Times New Roman" w:hAnsi="Times New Roman" w:cs="Times New Roman"/>
        </w:rPr>
        <w:footnoteRef/>
      </w:r>
      <w:r w:rsidRPr="004C70D0">
        <w:rPr>
          <w:rFonts w:ascii="Times New Roman" w:hAnsi="Times New Roman" w:cs="Times New Roman"/>
        </w:rPr>
        <w:t xml:space="preserve"> </w:t>
      </w:r>
      <w:r w:rsidRPr="004C70D0">
        <w:rPr>
          <w:rFonts w:ascii="Times New Roman" w:hAnsi="Times New Roman" w:cs="Times New Roman"/>
          <w:i/>
        </w:rPr>
        <w:t>See id.</w:t>
      </w:r>
    </w:p>
  </w:footnote>
  <w:footnote w:id="21">
    <w:p w:rsidR="00B251F3" w:rsidRDefault="00B251F3">
      <w:pPr>
        <w:pStyle w:val="FootnoteText"/>
      </w:pPr>
      <w:r w:rsidRPr="004C70D0">
        <w:rPr>
          <w:rStyle w:val="FootnoteReference"/>
          <w:rFonts w:ascii="Times New Roman" w:hAnsi="Times New Roman" w:cs="Times New Roman"/>
        </w:rPr>
        <w:footnoteRef/>
      </w:r>
      <w:r w:rsidRPr="004C70D0">
        <w:rPr>
          <w:rFonts w:ascii="Times New Roman" w:hAnsi="Times New Roman" w:cs="Times New Roman"/>
        </w:rPr>
        <w:t xml:space="preserve"> 666 F.3d 746 (D.C. Cir. 2011).</w:t>
      </w:r>
    </w:p>
  </w:footnote>
  <w:footnote w:id="22">
    <w:p w:rsidR="00B251F3" w:rsidRPr="00CF0F9A" w:rsidRDefault="00B251F3" w:rsidP="00E5150F">
      <w:pPr>
        <w:pStyle w:val="FootnoteText"/>
        <w:rPr>
          <w:rFonts w:ascii="Times New Roman" w:hAnsi="Times New Roman" w:cs="Times New Roman"/>
        </w:rPr>
      </w:pPr>
      <w:r w:rsidRPr="00CF0F9A">
        <w:rPr>
          <w:rStyle w:val="FootnoteReference"/>
          <w:rFonts w:ascii="Times New Roman" w:hAnsi="Times New Roman" w:cs="Times New Roman"/>
        </w:rPr>
        <w:footnoteRef/>
      </w:r>
      <w:r w:rsidRPr="00CF0F9A">
        <w:rPr>
          <w:rFonts w:ascii="Times New Roman" w:hAnsi="Times New Roman" w:cs="Times New Roman"/>
        </w:rPr>
        <w:t xml:space="preserve"> Before </w:t>
      </w:r>
      <w:r w:rsidRPr="00CF0F9A">
        <w:rPr>
          <w:rFonts w:ascii="Times New Roman" w:hAnsi="Times New Roman" w:cs="Times New Roman"/>
          <w:i/>
        </w:rPr>
        <w:t>Al-Adahi</w:t>
      </w:r>
      <w:r w:rsidRPr="00CF0F9A">
        <w:rPr>
          <w:rFonts w:ascii="Times New Roman" w:hAnsi="Times New Roman" w:cs="Times New Roman"/>
        </w:rPr>
        <w:t>, the courts accepted 7 of 16 allegations or 44%.  After, the courts accepted 3 of 7 allegations or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264E"/>
    <w:multiLevelType w:val="hybridMultilevel"/>
    <w:tmpl w:val="503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E559F2"/>
    <w:multiLevelType w:val="hybridMultilevel"/>
    <w:tmpl w:val="8010653C"/>
    <w:lvl w:ilvl="0" w:tplc="4F82B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2D7474"/>
    <w:multiLevelType w:val="hybridMultilevel"/>
    <w:tmpl w:val="D0863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3548F"/>
    <w:multiLevelType w:val="hybridMultilevel"/>
    <w:tmpl w:val="0AA0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5E5CAC"/>
    <w:multiLevelType w:val="hybridMultilevel"/>
    <w:tmpl w:val="714C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C51B95"/>
    <w:multiLevelType w:val="hybridMultilevel"/>
    <w:tmpl w:val="4B1C09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CD"/>
    <w:rsid w:val="000130BA"/>
    <w:rsid w:val="00017A30"/>
    <w:rsid w:val="00025328"/>
    <w:rsid w:val="000326D6"/>
    <w:rsid w:val="000332E8"/>
    <w:rsid w:val="00034267"/>
    <w:rsid w:val="00040E73"/>
    <w:rsid w:val="0004141A"/>
    <w:rsid w:val="000444E3"/>
    <w:rsid w:val="000464C7"/>
    <w:rsid w:val="000550E2"/>
    <w:rsid w:val="00061966"/>
    <w:rsid w:val="00063B69"/>
    <w:rsid w:val="00071BDB"/>
    <w:rsid w:val="000727BF"/>
    <w:rsid w:val="000733AB"/>
    <w:rsid w:val="00075319"/>
    <w:rsid w:val="00075954"/>
    <w:rsid w:val="0007770F"/>
    <w:rsid w:val="00081C75"/>
    <w:rsid w:val="00081C76"/>
    <w:rsid w:val="000946BE"/>
    <w:rsid w:val="00097C60"/>
    <w:rsid w:val="000B36E7"/>
    <w:rsid w:val="000C28C4"/>
    <w:rsid w:val="000D3B71"/>
    <w:rsid w:val="000D4165"/>
    <w:rsid w:val="000D457F"/>
    <w:rsid w:val="000D622D"/>
    <w:rsid w:val="000D7281"/>
    <w:rsid w:val="000E1DBA"/>
    <w:rsid w:val="000E23DB"/>
    <w:rsid w:val="000F3F43"/>
    <w:rsid w:val="001017B6"/>
    <w:rsid w:val="00101C15"/>
    <w:rsid w:val="00101C2B"/>
    <w:rsid w:val="0010613C"/>
    <w:rsid w:val="0011326E"/>
    <w:rsid w:val="00114FF2"/>
    <w:rsid w:val="00115B52"/>
    <w:rsid w:val="00126AB9"/>
    <w:rsid w:val="001416BA"/>
    <w:rsid w:val="001458AC"/>
    <w:rsid w:val="001468FE"/>
    <w:rsid w:val="00147F27"/>
    <w:rsid w:val="00152077"/>
    <w:rsid w:val="00162698"/>
    <w:rsid w:val="00163994"/>
    <w:rsid w:val="00166463"/>
    <w:rsid w:val="00170766"/>
    <w:rsid w:val="0017262A"/>
    <w:rsid w:val="001730EC"/>
    <w:rsid w:val="00181B86"/>
    <w:rsid w:val="00184F16"/>
    <w:rsid w:val="001861B0"/>
    <w:rsid w:val="00187FCE"/>
    <w:rsid w:val="00192ACB"/>
    <w:rsid w:val="0019339F"/>
    <w:rsid w:val="001938AA"/>
    <w:rsid w:val="00197AFC"/>
    <w:rsid w:val="001A3A64"/>
    <w:rsid w:val="001B6BB6"/>
    <w:rsid w:val="001B780F"/>
    <w:rsid w:val="001C503B"/>
    <w:rsid w:val="001C71B5"/>
    <w:rsid w:val="001D3FD5"/>
    <w:rsid w:val="001E5F76"/>
    <w:rsid w:val="00205932"/>
    <w:rsid w:val="0020617B"/>
    <w:rsid w:val="00207C5A"/>
    <w:rsid w:val="002113C6"/>
    <w:rsid w:val="0021623F"/>
    <w:rsid w:val="00222FC2"/>
    <w:rsid w:val="00226F73"/>
    <w:rsid w:val="0023137F"/>
    <w:rsid w:val="00243597"/>
    <w:rsid w:val="002471E0"/>
    <w:rsid w:val="00247DA7"/>
    <w:rsid w:val="00253679"/>
    <w:rsid w:val="002536D4"/>
    <w:rsid w:val="0025431A"/>
    <w:rsid w:val="00261A02"/>
    <w:rsid w:val="002661AC"/>
    <w:rsid w:val="002729E7"/>
    <w:rsid w:val="00280830"/>
    <w:rsid w:val="00280E59"/>
    <w:rsid w:val="00282659"/>
    <w:rsid w:val="00287BF2"/>
    <w:rsid w:val="00291FAF"/>
    <w:rsid w:val="00292255"/>
    <w:rsid w:val="00295D24"/>
    <w:rsid w:val="002A0740"/>
    <w:rsid w:val="002B236C"/>
    <w:rsid w:val="002B294F"/>
    <w:rsid w:val="002B4AA0"/>
    <w:rsid w:val="002B5B08"/>
    <w:rsid w:val="002D08A4"/>
    <w:rsid w:val="002D159D"/>
    <w:rsid w:val="002D2744"/>
    <w:rsid w:val="002D693D"/>
    <w:rsid w:val="002D7034"/>
    <w:rsid w:val="002F0FB5"/>
    <w:rsid w:val="002F5135"/>
    <w:rsid w:val="003008B8"/>
    <w:rsid w:val="00311F42"/>
    <w:rsid w:val="003120E9"/>
    <w:rsid w:val="0031457D"/>
    <w:rsid w:val="003218B2"/>
    <w:rsid w:val="0033013E"/>
    <w:rsid w:val="00334759"/>
    <w:rsid w:val="003420F9"/>
    <w:rsid w:val="00342B3E"/>
    <w:rsid w:val="003440A5"/>
    <w:rsid w:val="00346BD4"/>
    <w:rsid w:val="0036181F"/>
    <w:rsid w:val="003621B0"/>
    <w:rsid w:val="0036378A"/>
    <w:rsid w:val="00370226"/>
    <w:rsid w:val="00373CB3"/>
    <w:rsid w:val="00382A7D"/>
    <w:rsid w:val="00383CDB"/>
    <w:rsid w:val="00383FC8"/>
    <w:rsid w:val="00384880"/>
    <w:rsid w:val="00385BB3"/>
    <w:rsid w:val="00385E3D"/>
    <w:rsid w:val="00394CFF"/>
    <w:rsid w:val="00395A6E"/>
    <w:rsid w:val="003A0478"/>
    <w:rsid w:val="003B1FF3"/>
    <w:rsid w:val="003B2EB3"/>
    <w:rsid w:val="003B7F1C"/>
    <w:rsid w:val="003C36BC"/>
    <w:rsid w:val="003C6194"/>
    <w:rsid w:val="003D2D88"/>
    <w:rsid w:val="003D2FCD"/>
    <w:rsid w:val="003D33F0"/>
    <w:rsid w:val="003D4A1F"/>
    <w:rsid w:val="003D7AB6"/>
    <w:rsid w:val="003E000E"/>
    <w:rsid w:val="003E0C56"/>
    <w:rsid w:val="003E172C"/>
    <w:rsid w:val="003E5677"/>
    <w:rsid w:val="003F2B39"/>
    <w:rsid w:val="00400144"/>
    <w:rsid w:val="004107E7"/>
    <w:rsid w:val="00410A3B"/>
    <w:rsid w:val="00410B5B"/>
    <w:rsid w:val="00416347"/>
    <w:rsid w:val="00420856"/>
    <w:rsid w:val="004209E2"/>
    <w:rsid w:val="00427DF8"/>
    <w:rsid w:val="00430B1A"/>
    <w:rsid w:val="00431248"/>
    <w:rsid w:val="00431D5E"/>
    <w:rsid w:val="00433783"/>
    <w:rsid w:val="0044739C"/>
    <w:rsid w:val="00453E77"/>
    <w:rsid w:val="00454F3B"/>
    <w:rsid w:val="004604CF"/>
    <w:rsid w:val="004749A4"/>
    <w:rsid w:val="00477014"/>
    <w:rsid w:val="004918CD"/>
    <w:rsid w:val="004A5AD3"/>
    <w:rsid w:val="004A5E53"/>
    <w:rsid w:val="004A74D7"/>
    <w:rsid w:val="004B0226"/>
    <w:rsid w:val="004B178C"/>
    <w:rsid w:val="004C09B0"/>
    <w:rsid w:val="004C5DD7"/>
    <w:rsid w:val="004C70D0"/>
    <w:rsid w:val="004C7B6F"/>
    <w:rsid w:val="004D3B8A"/>
    <w:rsid w:val="004E080D"/>
    <w:rsid w:val="004E4A17"/>
    <w:rsid w:val="004E5B11"/>
    <w:rsid w:val="004F2F15"/>
    <w:rsid w:val="004F4960"/>
    <w:rsid w:val="005006CE"/>
    <w:rsid w:val="00503114"/>
    <w:rsid w:val="005053DF"/>
    <w:rsid w:val="005117B9"/>
    <w:rsid w:val="005127C1"/>
    <w:rsid w:val="00512C18"/>
    <w:rsid w:val="00512D0E"/>
    <w:rsid w:val="005200B1"/>
    <w:rsid w:val="005314E4"/>
    <w:rsid w:val="005348E1"/>
    <w:rsid w:val="00551BD4"/>
    <w:rsid w:val="0055384B"/>
    <w:rsid w:val="00562D63"/>
    <w:rsid w:val="00571AF5"/>
    <w:rsid w:val="00573B79"/>
    <w:rsid w:val="00575877"/>
    <w:rsid w:val="005758CF"/>
    <w:rsid w:val="00583092"/>
    <w:rsid w:val="005843F9"/>
    <w:rsid w:val="00587559"/>
    <w:rsid w:val="005902E8"/>
    <w:rsid w:val="005A241E"/>
    <w:rsid w:val="005A2E9F"/>
    <w:rsid w:val="005B2904"/>
    <w:rsid w:val="005B6937"/>
    <w:rsid w:val="005C14E4"/>
    <w:rsid w:val="005D0710"/>
    <w:rsid w:val="005D2906"/>
    <w:rsid w:val="005E0748"/>
    <w:rsid w:val="005E29CA"/>
    <w:rsid w:val="005E3191"/>
    <w:rsid w:val="005E5413"/>
    <w:rsid w:val="005E679A"/>
    <w:rsid w:val="005F768C"/>
    <w:rsid w:val="006002C9"/>
    <w:rsid w:val="0060345D"/>
    <w:rsid w:val="0061161C"/>
    <w:rsid w:val="00612AB7"/>
    <w:rsid w:val="006174E8"/>
    <w:rsid w:val="00625AB6"/>
    <w:rsid w:val="00631C0F"/>
    <w:rsid w:val="00631EB6"/>
    <w:rsid w:val="00633773"/>
    <w:rsid w:val="006439A7"/>
    <w:rsid w:val="006449DB"/>
    <w:rsid w:val="00650914"/>
    <w:rsid w:val="006570C4"/>
    <w:rsid w:val="00657E0A"/>
    <w:rsid w:val="0066066A"/>
    <w:rsid w:val="00663919"/>
    <w:rsid w:val="00667CBE"/>
    <w:rsid w:val="006760A3"/>
    <w:rsid w:val="00683D01"/>
    <w:rsid w:val="0069410B"/>
    <w:rsid w:val="006972CE"/>
    <w:rsid w:val="006A1808"/>
    <w:rsid w:val="006B4D8B"/>
    <w:rsid w:val="006B5BF2"/>
    <w:rsid w:val="006B7B5C"/>
    <w:rsid w:val="006C008D"/>
    <w:rsid w:val="006C16E3"/>
    <w:rsid w:val="006C4868"/>
    <w:rsid w:val="006D04A6"/>
    <w:rsid w:val="006D2371"/>
    <w:rsid w:val="006D31BC"/>
    <w:rsid w:val="006D4EDA"/>
    <w:rsid w:val="006E6A57"/>
    <w:rsid w:val="00701F9A"/>
    <w:rsid w:val="00702A18"/>
    <w:rsid w:val="00704CCD"/>
    <w:rsid w:val="00705642"/>
    <w:rsid w:val="007114C1"/>
    <w:rsid w:val="007162A3"/>
    <w:rsid w:val="00716B00"/>
    <w:rsid w:val="00731726"/>
    <w:rsid w:val="00732AEE"/>
    <w:rsid w:val="007508FB"/>
    <w:rsid w:val="00751662"/>
    <w:rsid w:val="00765B53"/>
    <w:rsid w:val="00772D43"/>
    <w:rsid w:val="00774E3B"/>
    <w:rsid w:val="00786A35"/>
    <w:rsid w:val="00786F47"/>
    <w:rsid w:val="007912A6"/>
    <w:rsid w:val="0079399C"/>
    <w:rsid w:val="007A124B"/>
    <w:rsid w:val="007A701C"/>
    <w:rsid w:val="007C3672"/>
    <w:rsid w:val="007C6DE0"/>
    <w:rsid w:val="007D58AF"/>
    <w:rsid w:val="007D596F"/>
    <w:rsid w:val="007E75C7"/>
    <w:rsid w:val="007F2F74"/>
    <w:rsid w:val="007F6755"/>
    <w:rsid w:val="007F6B33"/>
    <w:rsid w:val="0080294A"/>
    <w:rsid w:val="008043C9"/>
    <w:rsid w:val="00806D4F"/>
    <w:rsid w:val="00815CCE"/>
    <w:rsid w:val="00825A71"/>
    <w:rsid w:val="00827C50"/>
    <w:rsid w:val="00831B91"/>
    <w:rsid w:val="00832D30"/>
    <w:rsid w:val="0083586F"/>
    <w:rsid w:val="00844AC7"/>
    <w:rsid w:val="0084671D"/>
    <w:rsid w:val="00847DD0"/>
    <w:rsid w:val="008519B0"/>
    <w:rsid w:val="00851FB4"/>
    <w:rsid w:val="008569A6"/>
    <w:rsid w:val="008600DE"/>
    <w:rsid w:val="00860829"/>
    <w:rsid w:val="00865547"/>
    <w:rsid w:val="0086773E"/>
    <w:rsid w:val="0087326C"/>
    <w:rsid w:val="00874D2F"/>
    <w:rsid w:val="008762AA"/>
    <w:rsid w:val="008829E0"/>
    <w:rsid w:val="00885538"/>
    <w:rsid w:val="00890C5D"/>
    <w:rsid w:val="00891A52"/>
    <w:rsid w:val="008930D5"/>
    <w:rsid w:val="008933FF"/>
    <w:rsid w:val="008934F7"/>
    <w:rsid w:val="008955ED"/>
    <w:rsid w:val="00897F20"/>
    <w:rsid w:val="008A05AF"/>
    <w:rsid w:val="008A3844"/>
    <w:rsid w:val="008A614C"/>
    <w:rsid w:val="008B172F"/>
    <w:rsid w:val="008B1922"/>
    <w:rsid w:val="008B2269"/>
    <w:rsid w:val="008C3109"/>
    <w:rsid w:val="008C69E4"/>
    <w:rsid w:val="008D12CC"/>
    <w:rsid w:val="008D15CC"/>
    <w:rsid w:val="008F3283"/>
    <w:rsid w:val="008F656E"/>
    <w:rsid w:val="0090000C"/>
    <w:rsid w:val="00902962"/>
    <w:rsid w:val="00902BD1"/>
    <w:rsid w:val="00903EEB"/>
    <w:rsid w:val="00905844"/>
    <w:rsid w:val="009151C9"/>
    <w:rsid w:val="00917051"/>
    <w:rsid w:val="009229EC"/>
    <w:rsid w:val="00927AAD"/>
    <w:rsid w:val="00930139"/>
    <w:rsid w:val="00937BB8"/>
    <w:rsid w:val="0094577D"/>
    <w:rsid w:val="009466E7"/>
    <w:rsid w:val="00963273"/>
    <w:rsid w:val="00974349"/>
    <w:rsid w:val="00975880"/>
    <w:rsid w:val="00981481"/>
    <w:rsid w:val="00987B86"/>
    <w:rsid w:val="0099281D"/>
    <w:rsid w:val="00996923"/>
    <w:rsid w:val="009A127B"/>
    <w:rsid w:val="009A6678"/>
    <w:rsid w:val="009A7E9A"/>
    <w:rsid w:val="009B3A75"/>
    <w:rsid w:val="009D13D5"/>
    <w:rsid w:val="009D5973"/>
    <w:rsid w:val="009E0447"/>
    <w:rsid w:val="009E480C"/>
    <w:rsid w:val="009F0DC3"/>
    <w:rsid w:val="009F5775"/>
    <w:rsid w:val="009F7DAC"/>
    <w:rsid w:val="00A017AE"/>
    <w:rsid w:val="00A032D9"/>
    <w:rsid w:val="00A10E89"/>
    <w:rsid w:val="00A151ED"/>
    <w:rsid w:val="00A251C8"/>
    <w:rsid w:val="00A32902"/>
    <w:rsid w:val="00A41E5B"/>
    <w:rsid w:val="00A433ED"/>
    <w:rsid w:val="00A55757"/>
    <w:rsid w:val="00A5753B"/>
    <w:rsid w:val="00A628CC"/>
    <w:rsid w:val="00A64DA7"/>
    <w:rsid w:val="00A64ECF"/>
    <w:rsid w:val="00A72017"/>
    <w:rsid w:val="00A735FE"/>
    <w:rsid w:val="00A74D12"/>
    <w:rsid w:val="00A8359A"/>
    <w:rsid w:val="00A83B59"/>
    <w:rsid w:val="00A87080"/>
    <w:rsid w:val="00AA0273"/>
    <w:rsid w:val="00AA0B72"/>
    <w:rsid w:val="00AA2296"/>
    <w:rsid w:val="00AA22D5"/>
    <w:rsid w:val="00AA4143"/>
    <w:rsid w:val="00AB3740"/>
    <w:rsid w:val="00AB3DFF"/>
    <w:rsid w:val="00AC2946"/>
    <w:rsid w:val="00AC303D"/>
    <w:rsid w:val="00AC421B"/>
    <w:rsid w:val="00AD0574"/>
    <w:rsid w:val="00AD5F7B"/>
    <w:rsid w:val="00AD69C6"/>
    <w:rsid w:val="00AF1248"/>
    <w:rsid w:val="00B006EB"/>
    <w:rsid w:val="00B0156D"/>
    <w:rsid w:val="00B126A7"/>
    <w:rsid w:val="00B13686"/>
    <w:rsid w:val="00B14CD4"/>
    <w:rsid w:val="00B16A5D"/>
    <w:rsid w:val="00B17EAD"/>
    <w:rsid w:val="00B20408"/>
    <w:rsid w:val="00B251F3"/>
    <w:rsid w:val="00B27803"/>
    <w:rsid w:val="00B30678"/>
    <w:rsid w:val="00B35487"/>
    <w:rsid w:val="00B56DDE"/>
    <w:rsid w:val="00B60769"/>
    <w:rsid w:val="00B6372B"/>
    <w:rsid w:val="00B6404D"/>
    <w:rsid w:val="00B64598"/>
    <w:rsid w:val="00B735D6"/>
    <w:rsid w:val="00B73AAB"/>
    <w:rsid w:val="00B80E4F"/>
    <w:rsid w:val="00B858D4"/>
    <w:rsid w:val="00B9369B"/>
    <w:rsid w:val="00B96493"/>
    <w:rsid w:val="00B97BF0"/>
    <w:rsid w:val="00BA499B"/>
    <w:rsid w:val="00BA6730"/>
    <w:rsid w:val="00BB15A6"/>
    <w:rsid w:val="00BB240C"/>
    <w:rsid w:val="00BC45A8"/>
    <w:rsid w:val="00BD222D"/>
    <w:rsid w:val="00BD444D"/>
    <w:rsid w:val="00BD660E"/>
    <w:rsid w:val="00BD7AD0"/>
    <w:rsid w:val="00BE0F7D"/>
    <w:rsid w:val="00BE1779"/>
    <w:rsid w:val="00BF3C1C"/>
    <w:rsid w:val="00BF6BC3"/>
    <w:rsid w:val="00C059A3"/>
    <w:rsid w:val="00C1204E"/>
    <w:rsid w:val="00C13EC2"/>
    <w:rsid w:val="00C224A3"/>
    <w:rsid w:val="00C22697"/>
    <w:rsid w:val="00C27783"/>
    <w:rsid w:val="00C30339"/>
    <w:rsid w:val="00C33553"/>
    <w:rsid w:val="00C33FEB"/>
    <w:rsid w:val="00C36AAB"/>
    <w:rsid w:val="00C372BB"/>
    <w:rsid w:val="00C40764"/>
    <w:rsid w:val="00C43AEA"/>
    <w:rsid w:val="00C555BD"/>
    <w:rsid w:val="00C56064"/>
    <w:rsid w:val="00C63AD0"/>
    <w:rsid w:val="00C66F7C"/>
    <w:rsid w:val="00C7013C"/>
    <w:rsid w:val="00C74188"/>
    <w:rsid w:val="00C83E12"/>
    <w:rsid w:val="00C87BAC"/>
    <w:rsid w:val="00C90C7C"/>
    <w:rsid w:val="00C92047"/>
    <w:rsid w:val="00C94F27"/>
    <w:rsid w:val="00CA0184"/>
    <w:rsid w:val="00CA0F25"/>
    <w:rsid w:val="00CA3175"/>
    <w:rsid w:val="00CA7B19"/>
    <w:rsid w:val="00CB4BDB"/>
    <w:rsid w:val="00CB5419"/>
    <w:rsid w:val="00CB7718"/>
    <w:rsid w:val="00CC3A94"/>
    <w:rsid w:val="00CC4DD8"/>
    <w:rsid w:val="00CC7EFD"/>
    <w:rsid w:val="00CD0253"/>
    <w:rsid w:val="00CD2754"/>
    <w:rsid w:val="00CD78C6"/>
    <w:rsid w:val="00CF0F9A"/>
    <w:rsid w:val="00CF6E76"/>
    <w:rsid w:val="00CF78A9"/>
    <w:rsid w:val="00D04A09"/>
    <w:rsid w:val="00D04AD1"/>
    <w:rsid w:val="00D0504B"/>
    <w:rsid w:val="00D10819"/>
    <w:rsid w:val="00D10AA2"/>
    <w:rsid w:val="00D15099"/>
    <w:rsid w:val="00D207D9"/>
    <w:rsid w:val="00D271E1"/>
    <w:rsid w:val="00D276F3"/>
    <w:rsid w:val="00D30670"/>
    <w:rsid w:val="00D30E73"/>
    <w:rsid w:val="00D34408"/>
    <w:rsid w:val="00D37B37"/>
    <w:rsid w:val="00D46542"/>
    <w:rsid w:val="00D562C2"/>
    <w:rsid w:val="00D562E1"/>
    <w:rsid w:val="00D634CF"/>
    <w:rsid w:val="00D6379B"/>
    <w:rsid w:val="00D63804"/>
    <w:rsid w:val="00D6511C"/>
    <w:rsid w:val="00D6724C"/>
    <w:rsid w:val="00D70819"/>
    <w:rsid w:val="00D8061C"/>
    <w:rsid w:val="00D80EEE"/>
    <w:rsid w:val="00D82B9F"/>
    <w:rsid w:val="00D85A0E"/>
    <w:rsid w:val="00D87A28"/>
    <w:rsid w:val="00D91A95"/>
    <w:rsid w:val="00D92423"/>
    <w:rsid w:val="00D96848"/>
    <w:rsid w:val="00D96CE9"/>
    <w:rsid w:val="00D97562"/>
    <w:rsid w:val="00DA0E3B"/>
    <w:rsid w:val="00DB0BFD"/>
    <w:rsid w:val="00DB5173"/>
    <w:rsid w:val="00DB5F82"/>
    <w:rsid w:val="00DD1E95"/>
    <w:rsid w:val="00DE4FC6"/>
    <w:rsid w:val="00DE5BCF"/>
    <w:rsid w:val="00DF31C1"/>
    <w:rsid w:val="00DF3A6E"/>
    <w:rsid w:val="00DF5681"/>
    <w:rsid w:val="00DF75AD"/>
    <w:rsid w:val="00E00D6D"/>
    <w:rsid w:val="00E07D04"/>
    <w:rsid w:val="00E11FC7"/>
    <w:rsid w:val="00E122F1"/>
    <w:rsid w:val="00E1711C"/>
    <w:rsid w:val="00E2560F"/>
    <w:rsid w:val="00E26F60"/>
    <w:rsid w:val="00E309E0"/>
    <w:rsid w:val="00E3171C"/>
    <w:rsid w:val="00E35A7B"/>
    <w:rsid w:val="00E37B2E"/>
    <w:rsid w:val="00E412A5"/>
    <w:rsid w:val="00E45FEC"/>
    <w:rsid w:val="00E5150F"/>
    <w:rsid w:val="00E5199E"/>
    <w:rsid w:val="00E521BA"/>
    <w:rsid w:val="00E532CA"/>
    <w:rsid w:val="00E57484"/>
    <w:rsid w:val="00E601C4"/>
    <w:rsid w:val="00E62634"/>
    <w:rsid w:val="00E710E1"/>
    <w:rsid w:val="00E73CBE"/>
    <w:rsid w:val="00E74BC6"/>
    <w:rsid w:val="00E77181"/>
    <w:rsid w:val="00E864DD"/>
    <w:rsid w:val="00E87B03"/>
    <w:rsid w:val="00E90209"/>
    <w:rsid w:val="00E96589"/>
    <w:rsid w:val="00EA0C83"/>
    <w:rsid w:val="00EA3442"/>
    <w:rsid w:val="00EA52FA"/>
    <w:rsid w:val="00EA6ED0"/>
    <w:rsid w:val="00EA7BF9"/>
    <w:rsid w:val="00EB05CA"/>
    <w:rsid w:val="00EB6EC8"/>
    <w:rsid w:val="00EC6F1A"/>
    <w:rsid w:val="00EC7BD6"/>
    <w:rsid w:val="00ED5703"/>
    <w:rsid w:val="00ED6A3D"/>
    <w:rsid w:val="00ED6A73"/>
    <w:rsid w:val="00EE140B"/>
    <w:rsid w:val="00EE5C6F"/>
    <w:rsid w:val="00EF65E6"/>
    <w:rsid w:val="00EF6A48"/>
    <w:rsid w:val="00EF7564"/>
    <w:rsid w:val="00F03D00"/>
    <w:rsid w:val="00F10A72"/>
    <w:rsid w:val="00F128E2"/>
    <w:rsid w:val="00F130A7"/>
    <w:rsid w:val="00F20893"/>
    <w:rsid w:val="00F20AC0"/>
    <w:rsid w:val="00F24382"/>
    <w:rsid w:val="00F30F14"/>
    <w:rsid w:val="00F34129"/>
    <w:rsid w:val="00F35159"/>
    <w:rsid w:val="00F37C98"/>
    <w:rsid w:val="00F42C8E"/>
    <w:rsid w:val="00F43820"/>
    <w:rsid w:val="00F51A9A"/>
    <w:rsid w:val="00F57EC9"/>
    <w:rsid w:val="00F616D2"/>
    <w:rsid w:val="00F62689"/>
    <w:rsid w:val="00F75590"/>
    <w:rsid w:val="00F81C16"/>
    <w:rsid w:val="00F82F88"/>
    <w:rsid w:val="00F839A9"/>
    <w:rsid w:val="00F92837"/>
    <w:rsid w:val="00FA57A9"/>
    <w:rsid w:val="00FA7CA2"/>
    <w:rsid w:val="00FB6E21"/>
    <w:rsid w:val="00FC32A9"/>
    <w:rsid w:val="00FC70BC"/>
    <w:rsid w:val="00FD14AC"/>
    <w:rsid w:val="00FD24E6"/>
    <w:rsid w:val="00FD349A"/>
    <w:rsid w:val="00FE1C7D"/>
    <w:rsid w:val="00FE3C93"/>
    <w:rsid w:val="00FE3D1C"/>
    <w:rsid w:val="00FE695A"/>
    <w:rsid w:val="00FE6C7C"/>
    <w:rsid w:val="00FF18B1"/>
    <w:rsid w:val="00FF5E4F"/>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5757"/>
    <w:pPr>
      <w:spacing w:after="0" w:line="240" w:lineRule="auto"/>
    </w:pPr>
    <w:rPr>
      <w:sz w:val="20"/>
      <w:szCs w:val="20"/>
    </w:rPr>
  </w:style>
  <w:style w:type="character" w:customStyle="1" w:styleId="FootnoteTextChar">
    <w:name w:val="Footnote Text Char"/>
    <w:basedOn w:val="DefaultParagraphFont"/>
    <w:link w:val="FootnoteText"/>
    <w:uiPriority w:val="99"/>
    <w:rsid w:val="00A55757"/>
    <w:rPr>
      <w:sz w:val="20"/>
      <w:szCs w:val="20"/>
    </w:rPr>
  </w:style>
  <w:style w:type="character" w:styleId="FootnoteReference">
    <w:name w:val="footnote reference"/>
    <w:basedOn w:val="DefaultParagraphFont"/>
    <w:uiPriority w:val="99"/>
    <w:semiHidden/>
    <w:unhideWhenUsed/>
    <w:rsid w:val="00A55757"/>
    <w:rPr>
      <w:vertAlign w:val="superscript"/>
    </w:rPr>
  </w:style>
  <w:style w:type="character" w:styleId="Hyperlink">
    <w:name w:val="Hyperlink"/>
    <w:basedOn w:val="DefaultParagraphFont"/>
    <w:uiPriority w:val="99"/>
    <w:unhideWhenUsed/>
    <w:rsid w:val="00075319"/>
    <w:rPr>
      <w:color w:val="0000FF" w:themeColor="hyperlink"/>
      <w:u w:val="single"/>
    </w:rPr>
  </w:style>
  <w:style w:type="paragraph" w:styleId="ListParagraph">
    <w:name w:val="List Paragraph"/>
    <w:basedOn w:val="Normal"/>
    <w:uiPriority w:val="34"/>
    <w:qFormat/>
    <w:rsid w:val="00B6372B"/>
    <w:pPr>
      <w:ind w:left="720"/>
      <w:contextualSpacing/>
    </w:pPr>
  </w:style>
  <w:style w:type="character" w:styleId="Strong">
    <w:name w:val="Strong"/>
    <w:basedOn w:val="DefaultParagraphFont"/>
    <w:uiPriority w:val="22"/>
    <w:qFormat/>
    <w:rsid w:val="00B80E4F"/>
    <w:rPr>
      <w:b/>
      <w:bCs/>
    </w:rPr>
  </w:style>
  <w:style w:type="paragraph" w:styleId="Header">
    <w:name w:val="header"/>
    <w:basedOn w:val="Normal"/>
    <w:link w:val="HeaderChar"/>
    <w:uiPriority w:val="99"/>
    <w:unhideWhenUsed/>
    <w:rsid w:val="00937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BB8"/>
  </w:style>
  <w:style w:type="paragraph" w:styleId="Footer">
    <w:name w:val="footer"/>
    <w:basedOn w:val="Normal"/>
    <w:link w:val="FooterChar"/>
    <w:uiPriority w:val="99"/>
    <w:unhideWhenUsed/>
    <w:rsid w:val="00937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BB8"/>
  </w:style>
  <w:style w:type="character" w:styleId="CommentReference">
    <w:name w:val="annotation reference"/>
    <w:basedOn w:val="DefaultParagraphFont"/>
    <w:uiPriority w:val="99"/>
    <w:semiHidden/>
    <w:unhideWhenUsed/>
    <w:rsid w:val="009F7DAC"/>
    <w:rPr>
      <w:sz w:val="16"/>
      <w:szCs w:val="16"/>
    </w:rPr>
  </w:style>
  <w:style w:type="paragraph" w:styleId="CommentText">
    <w:name w:val="annotation text"/>
    <w:basedOn w:val="Normal"/>
    <w:link w:val="CommentTextChar"/>
    <w:uiPriority w:val="99"/>
    <w:unhideWhenUsed/>
    <w:rsid w:val="009F7DAC"/>
    <w:pPr>
      <w:spacing w:line="240" w:lineRule="auto"/>
    </w:pPr>
    <w:rPr>
      <w:sz w:val="20"/>
      <w:szCs w:val="20"/>
    </w:rPr>
  </w:style>
  <w:style w:type="character" w:customStyle="1" w:styleId="CommentTextChar">
    <w:name w:val="Comment Text Char"/>
    <w:basedOn w:val="DefaultParagraphFont"/>
    <w:link w:val="CommentText"/>
    <w:uiPriority w:val="99"/>
    <w:rsid w:val="009F7DAC"/>
    <w:rPr>
      <w:sz w:val="20"/>
      <w:szCs w:val="20"/>
    </w:rPr>
  </w:style>
  <w:style w:type="paragraph" w:styleId="CommentSubject">
    <w:name w:val="annotation subject"/>
    <w:basedOn w:val="CommentText"/>
    <w:next w:val="CommentText"/>
    <w:link w:val="CommentSubjectChar"/>
    <w:uiPriority w:val="99"/>
    <w:semiHidden/>
    <w:unhideWhenUsed/>
    <w:rsid w:val="009F7DAC"/>
    <w:rPr>
      <w:b/>
      <w:bCs/>
    </w:rPr>
  </w:style>
  <w:style w:type="character" w:customStyle="1" w:styleId="CommentSubjectChar">
    <w:name w:val="Comment Subject Char"/>
    <w:basedOn w:val="CommentTextChar"/>
    <w:link w:val="CommentSubject"/>
    <w:uiPriority w:val="99"/>
    <w:semiHidden/>
    <w:rsid w:val="009F7DAC"/>
    <w:rPr>
      <w:b/>
      <w:bCs/>
      <w:sz w:val="20"/>
      <w:szCs w:val="20"/>
    </w:rPr>
  </w:style>
  <w:style w:type="paragraph" w:styleId="BalloonText">
    <w:name w:val="Balloon Text"/>
    <w:basedOn w:val="Normal"/>
    <w:link w:val="BalloonTextChar"/>
    <w:uiPriority w:val="99"/>
    <w:semiHidden/>
    <w:unhideWhenUsed/>
    <w:rsid w:val="009F7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DAC"/>
    <w:rPr>
      <w:rFonts w:ascii="Tahoma" w:hAnsi="Tahoma" w:cs="Tahoma"/>
      <w:sz w:val="16"/>
      <w:szCs w:val="16"/>
    </w:rPr>
  </w:style>
  <w:style w:type="paragraph" w:styleId="NormalWeb">
    <w:name w:val="Normal (Web)"/>
    <w:basedOn w:val="Normal"/>
    <w:uiPriority w:val="99"/>
    <w:unhideWhenUsed/>
    <w:rsid w:val="002D27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1FF3"/>
    <w:rPr>
      <w:i/>
      <w:iCs/>
    </w:rPr>
  </w:style>
  <w:style w:type="character" w:customStyle="1" w:styleId="costarpage">
    <w:name w:val="co_starpage"/>
    <w:basedOn w:val="DefaultParagraphFont"/>
    <w:rsid w:val="003B1FF3"/>
  </w:style>
  <w:style w:type="character" w:customStyle="1" w:styleId="apple-converted-space">
    <w:name w:val="apple-converted-space"/>
    <w:basedOn w:val="DefaultParagraphFont"/>
    <w:rsid w:val="00987B86"/>
  </w:style>
  <w:style w:type="paragraph" w:styleId="Revision">
    <w:name w:val="Revision"/>
    <w:hidden/>
    <w:uiPriority w:val="99"/>
    <w:semiHidden/>
    <w:rsid w:val="004E5B11"/>
    <w:pPr>
      <w:spacing w:after="0" w:line="240" w:lineRule="auto"/>
    </w:pPr>
  </w:style>
  <w:style w:type="table" w:styleId="TableGrid">
    <w:name w:val="Table Grid"/>
    <w:basedOn w:val="TableNormal"/>
    <w:uiPriority w:val="59"/>
    <w:rsid w:val="004E5B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5757"/>
    <w:pPr>
      <w:spacing w:after="0" w:line="240" w:lineRule="auto"/>
    </w:pPr>
    <w:rPr>
      <w:sz w:val="20"/>
      <w:szCs w:val="20"/>
    </w:rPr>
  </w:style>
  <w:style w:type="character" w:customStyle="1" w:styleId="FootnoteTextChar">
    <w:name w:val="Footnote Text Char"/>
    <w:basedOn w:val="DefaultParagraphFont"/>
    <w:link w:val="FootnoteText"/>
    <w:uiPriority w:val="99"/>
    <w:rsid w:val="00A55757"/>
    <w:rPr>
      <w:sz w:val="20"/>
      <w:szCs w:val="20"/>
    </w:rPr>
  </w:style>
  <w:style w:type="character" w:styleId="FootnoteReference">
    <w:name w:val="footnote reference"/>
    <w:basedOn w:val="DefaultParagraphFont"/>
    <w:uiPriority w:val="99"/>
    <w:semiHidden/>
    <w:unhideWhenUsed/>
    <w:rsid w:val="00A55757"/>
    <w:rPr>
      <w:vertAlign w:val="superscript"/>
    </w:rPr>
  </w:style>
  <w:style w:type="character" w:styleId="Hyperlink">
    <w:name w:val="Hyperlink"/>
    <w:basedOn w:val="DefaultParagraphFont"/>
    <w:uiPriority w:val="99"/>
    <w:unhideWhenUsed/>
    <w:rsid w:val="00075319"/>
    <w:rPr>
      <w:color w:val="0000FF" w:themeColor="hyperlink"/>
      <w:u w:val="single"/>
    </w:rPr>
  </w:style>
  <w:style w:type="paragraph" w:styleId="ListParagraph">
    <w:name w:val="List Paragraph"/>
    <w:basedOn w:val="Normal"/>
    <w:uiPriority w:val="34"/>
    <w:qFormat/>
    <w:rsid w:val="00B6372B"/>
    <w:pPr>
      <w:ind w:left="720"/>
      <w:contextualSpacing/>
    </w:pPr>
  </w:style>
  <w:style w:type="character" w:styleId="Strong">
    <w:name w:val="Strong"/>
    <w:basedOn w:val="DefaultParagraphFont"/>
    <w:uiPriority w:val="22"/>
    <w:qFormat/>
    <w:rsid w:val="00B80E4F"/>
    <w:rPr>
      <w:b/>
      <w:bCs/>
    </w:rPr>
  </w:style>
  <w:style w:type="paragraph" w:styleId="Header">
    <w:name w:val="header"/>
    <w:basedOn w:val="Normal"/>
    <w:link w:val="HeaderChar"/>
    <w:uiPriority w:val="99"/>
    <w:unhideWhenUsed/>
    <w:rsid w:val="00937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BB8"/>
  </w:style>
  <w:style w:type="paragraph" w:styleId="Footer">
    <w:name w:val="footer"/>
    <w:basedOn w:val="Normal"/>
    <w:link w:val="FooterChar"/>
    <w:uiPriority w:val="99"/>
    <w:unhideWhenUsed/>
    <w:rsid w:val="00937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BB8"/>
  </w:style>
  <w:style w:type="character" w:styleId="CommentReference">
    <w:name w:val="annotation reference"/>
    <w:basedOn w:val="DefaultParagraphFont"/>
    <w:uiPriority w:val="99"/>
    <w:semiHidden/>
    <w:unhideWhenUsed/>
    <w:rsid w:val="009F7DAC"/>
    <w:rPr>
      <w:sz w:val="16"/>
      <w:szCs w:val="16"/>
    </w:rPr>
  </w:style>
  <w:style w:type="paragraph" w:styleId="CommentText">
    <w:name w:val="annotation text"/>
    <w:basedOn w:val="Normal"/>
    <w:link w:val="CommentTextChar"/>
    <w:uiPriority w:val="99"/>
    <w:unhideWhenUsed/>
    <w:rsid w:val="009F7DAC"/>
    <w:pPr>
      <w:spacing w:line="240" w:lineRule="auto"/>
    </w:pPr>
    <w:rPr>
      <w:sz w:val="20"/>
      <w:szCs w:val="20"/>
    </w:rPr>
  </w:style>
  <w:style w:type="character" w:customStyle="1" w:styleId="CommentTextChar">
    <w:name w:val="Comment Text Char"/>
    <w:basedOn w:val="DefaultParagraphFont"/>
    <w:link w:val="CommentText"/>
    <w:uiPriority w:val="99"/>
    <w:rsid w:val="009F7DAC"/>
    <w:rPr>
      <w:sz w:val="20"/>
      <w:szCs w:val="20"/>
    </w:rPr>
  </w:style>
  <w:style w:type="paragraph" w:styleId="CommentSubject">
    <w:name w:val="annotation subject"/>
    <w:basedOn w:val="CommentText"/>
    <w:next w:val="CommentText"/>
    <w:link w:val="CommentSubjectChar"/>
    <w:uiPriority w:val="99"/>
    <w:semiHidden/>
    <w:unhideWhenUsed/>
    <w:rsid w:val="009F7DAC"/>
    <w:rPr>
      <w:b/>
      <w:bCs/>
    </w:rPr>
  </w:style>
  <w:style w:type="character" w:customStyle="1" w:styleId="CommentSubjectChar">
    <w:name w:val="Comment Subject Char"/>
    <w:basedOn w:val="CommentTextChar"/>
    <w:link w:val="CommentSubject"/>
    <w:uiPriority w:val="99"/>
    <w:semiHidden/>
    <w:rsid w:val="009F7DAC"/>
    <w:rPr>
      <w:b/>
      <w:bCs/>
      <w:sz w:val="20"/>
      <w:szCs w:val="20"/>
    </w:rPr>
  </w:style>
  <w:style w:type="paragraph" w:styleId="BalloonText">
    <w:name w:val="Balloon Text"/>
    <w:basedOn w:val="Normal"/>
    <w:link w:val="BalloonTextChar"/>
    <w:uiPriority w:val="99"/>
    <w:semiHidden/>
    <w:unhideWhenUsed/>
    <w:rsid w:val="009F7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DAC"/>
    <w:rPr>
      <w:rFonts w:ascii="Tahoma" w:hAnsi="Tahoma" w:cs="Tahoma"/>
      <w:sz w:val="16"/>
      <w:szCs w:val="16"/>
    </w:rPr>
  </w:style>
  <w:style w:type="paragraph" w:styleId="NormalWeb">
    <w:name w:val="Normal (Web)"/>
    <w:basedOn w:val="Normal"/>
    <w:uiPriority w:val="99"/>
    <w:unhideWhenUsed/>
    <w:rsid w:val="002D27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1FF3"/>
    <w:rPr>
      <w:i/>
      <w:iCs/>
    </w:rPr>
  </w:style>
  <w:style w:type="character" w:customStyle="1" w:styleId="costarpage">
    <w:name w:val="co_starpage"/>
    <w:basedOn w:val="DefaultParagraphFont"/>
    <w:rsid w:val="003B1FF3"/>
  </w:style>
  <w:style w:type="character" w:customStyle="1" w:styleId="apple-converted-space">
    <w:name w:val="apple-converted-space"/>
    <w:basedOn w:val="DefaultParagraphFont"/>
    <w:rsid w:val="00987B86"/>
  </w:style>
  <w:style w:type="paragraph" w:styleId="Revision">
    <w:name w:val="Revision"/>
    <w:hidden/>
    <w:uiPriority w:val="99"/>
    <w:semiHidden/>
    <w:rsid w:val="004E5B11"/>
    <w:pPr>
      <w:spacing w:after="0" w:line="240" w:lineRule="auto"/>
    </w:pPr>
  </w:style>
  <w:style w:type="table" w:styleId="TableGrid">
    <w:name w:val="Table Grid"/>
    <w:basedOn w:val="TableNormal"/>
    <w:uiPriority w:val="59"/>
    <w:rsid w:val="004E5B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5726">
      <w:bodyDiv w:val="1"/>
      <w:marLeft w:val="0"/>
      <w:marRight w:val="0"/>
      <w:marTop w:val="0"/>
      <w:marBottom w:val="0"/>
      <w:divBdr>
        <w:top w:val="none" w:sz="0" w:space="0" w:color="auto"/>
        <w:left w:val="none" w:sz="0" w:space="0" w:color="auto"/>
        <w:bottom w:val="none" w:sz="0" w:space="0" w:color="auto"/>
        <w:right w:val="none" w:sz="0" w:space="0" w:color="auto"/>
      </w:divBdr>
    </w:div>
    <w:div w:id="197931857">
      <w:bodyDiv w:val="1"/>
      <w:marLeft w:val="0"/>
      <w:marRight w:val="0"/>
      <w:marTop w:val="0"/>
      <w:marBottom w:val="0"/>
      <w:divBdr>
        <w:top w:val="none" w:sz="0" w:space="0" w:color="auto"/>
        <w:left w:val="none" w:sz="0" w:space="0" w:color="auto"/>
        <w:bottom w:val="none" w:sz="0" w:space="0" w:color="auto"/>
        <w:right w:val="none" w:sz="0" w:space="0" w:color="auto"/>
      </w:divBdr>
      <w:divsChild>
        <w:div w:id="1175025491">
          <w:marLeft w:val="0"/>
          <w:marRight w:val="0"/>
          <w:marTop w:val="0"/>
          <w:marBottom w:val="0"/>
          <w:divBdr>
            <w:top w:val="none" w:sz="0" w:space="0" w:color="auto"/>
            <w:left w:val="none" w:sz="0" w:space="0" w:color="auto"/>
            <w:bottom w:val="none" w:sz="0" w:space="0" w:color="auto"/>
            <w:right w:val="none" w:sz="0" w:space="0" w:color="auto"/>
          </w:divBdr>
          <w:divsChild>
            <w:div w:id="597836716">
              <w:marLeft w:val="0"/>
              <w:marRight w:val="0"/>
              <w:marTop w:val="0"/>
              <w:marBottom w:val="0"/>
              <w:divBdr>
                <w:top w:val="none" w:sz="0" w:space="0" w:color="auto"/>
                <w:left w:val="none" w:sz="0" w:space="0" w:color="auto"/>
                <w:bottom w:val="none" w:sz="0" w:space="0" w:color="auto"/>
                <w:right w:val="none" w:sz="0" w:space="0" w:color="auto"/>
              </w:divBdr>
            </w:div>
          </w:divsChild>
        </w:div>
        <w:div w:id="1662386189">
          <w:marLeft w:val="0"/>
          <w:marRight w:val="0"/>
          <w:marTop w:val="0"/>
          <w:marBottom w:val="0"/>
          <w:divBdr>
            <w:top w:val="none" w:sz="0" w:space="0" w:color="auto"/>
            <w:left w:val="none" w:sz="0" w:space="0" w:color="auto"/>
            <w:bottom w:val="none" w:sz="0" w:space="0" w:color="auto"/>
            <w:right w:val="none" w:sz="0" w:space="0" w:color="auto"/>
          </w:divBdr>
        </w:div>
      </w:divsChild>
    </w:div>
    <w:div w:id="198011446">
      <w:bodyDiv w:val="1"/>
      <w:marLeft w:val="0"/>
      <w:marRight w:val="0"/>
      <w:marTop w:val="0"/>
      <w:marBottom w:val="0"/>
      <w:divBdr>
        <w:top w:val="none" w:sz="0" w:space="0" w:color="auto"/>
        <w:left w:val="none" w:sz="0" w:space="0" w:color="auto"/>
        <w:bottom w:val="none" w:sz="0" w:space="0" w:color="auto"/>
        <w:right w:val="none" w:sz="0" w:space="0" w:color="auto"/>
      </w:divBdr>
      <w:divsChild>
        <w:div w:id="12728727">
          <w:marLeft w:val="0"/>
          <w:marRight w:val="0"/>
          <w:marTop w:val="0"/>
          <w:marBottom w:val="0"/>
          <w:divBdr>
            <w:top w:val="none" w:sz="0" w:space="0" w:color="auto"/>
            <w:left w:val="none" w:sz="0" w:space="0" w:color="auto"/>
            <w:bottom w:val="none" w:sz="0" w:space="0" w:color="auto"/>
            <w:right w:val="none" w:sz="0" w:space="0" w:color="auto"/>
          </w:divBdr>
        </w:div>
        <w:div w:id="125201565">
          <w:marLeft w:val="0"/>
          <w:marRight w:val="0"/>
          <w:marTop w:val="0"/>
          <w:marBottom w:val="0"/>
          <w:divBdr>
            <w:top w:val="none" w:sz="0" w:space="0" w:color="auto"/>
            <w:left w:val="none" w:sz="0" w:space="0" w:color="auto"/>
            <w:bottom w:val="none" w:sz="0" w:space="0" w:color="auto"/>
            <w:right w:val="none" w:sz="0" w:space="0" w:color="auto"/>
          </w:divBdr>
        </w:div>
        <w:div w:id="266163925">
          <w:marLeft w:val="0"/>
          <w:marRight w:val="0"/>
          <w:marTop w:val="0"/>
          <w:marBottom w:val="0"/>
          <w:divBdr>
            <w:top w:val="none" w:sz="0" w:space="0" w:color="auto"/>
            <w:left w:val="none" w:sz="0" w:space="0" w:color="auto"/>
            <w:bottom w:val="none" w:sz="0" w:space="0" w:color="auto"/>
            <w:right w:val="none" w:sz="0" w:space="0" w:color="auto"/>
          </w:divBdr>
        </w:div>
        <w:div w:id="297730504">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447625548">
          <w:marLeft w:val="0"/>
          <w:marRight w:val="0"/>
          <w:marTop w:val="0"/>
          <w:marBottom w:val="0"/>
          <w:divBdr>
            <w:top w:val="none" w:sz="0" w:space="0" w:color="auto"/>
            <w:left w:val="none" w:sz="0" w:space="0" w:color="auto"/>
            <w:bottom w:val="none" w:sz="0" w:space="0" w:color="auto"/>
            <w:right w:val="none" w:sz="0" w:space="0" w:color="auto"/>
          </w:divBdr>
        </w:div>
        <w:div w:id="450981010">
          <w:marLeft w:val="0"/>
          <w:marRight w:val="0"/>
          <w:marTop w:val="0"/>
          <w:marBottom w:val="0"/>
          <w:divBdr>
            <w:top w:val="none" w:sz="0" w:space="0" w:color="auto"/>
            <w:left w:val="none" w:sz="0" w:space="0" w:color="auto"/>
            <w:bottom w:val="none" w:sz="0" w:space="0" w:color="auto"/>
            <w:right w:val="none" w:sz="0" w:space="0" w:color="auto"/>
          </w:divBdr>
        </w:div>
        <w:div w:id="461733513">
          <w:marLeft w:val="0"/>
          <w:marRight w:val="0"/>
          <w:marTop w:val="0"/>
          <w:marBottom w:val="0"/>
          <w:divBdr>
            <w:top w:val="none" w:sz="0" w:space="0" w:color="auto"/>
            <w:left w:val="none" w:sz="0" w:space="0" w:color="auto"/>
            <w:bottom w:val="none" w:sz="0" w:space="0" w:color="auto"/>
            <w:right w:val="none" w:sz="0" w:space="0" w:color="auto"/>
          </w:divBdr>
        </w:div>
        <w:div w:id="534267489">
          <w:marLeft w:val="0"/>
          <w:marRight w:val="0"/>
          <w:marTop w:val="0"/>
          <w:marBottom w:val="0"/>
          <w:divBdr>
            <w:top w:val="none" w:sz="0" w:space="0" w:color="auto"/>
            <w:left w:val="none" w:sz="0" w:space="0" w:color="auto"/>
            <w:bottom w:val="none" w:sz="0" w:space="0" w:color="auto"/>
            <w:right w:val="none" w:sz="0" w:space="0" w:color="auto"/>
          </w:divBdr>
        </w:div>
        <w:div w:id="604731958">
          <w:marLeft w:val="0"/>
          <w:marRight w:val="0"/>
          <w:marTop w:val="0"/>
          <w:marBottom w:val="0"/>
          <w:divBdr>
            <w:top w:val="none" w:sz="0" w:space="0" w:color="auto"/>
            <w:left w:val="none" w:sz="0" w:space="0" w:color="auto"/>
            <w:bottom w:val="none" w:sz="0" w:space="0" w:color="auto"/>
            <w:right w:val="none" w:sz="0" w:space="0" w:color="auto"/>
          </w:divBdr>
        </w:div>
        <w:div w:id="633829610">
          <w:marLeft w:val="0"/>
          <w:marRight w:val="0"/>
          <w:marTop w:val="0"/>
          <w:marBottom w:val="0"/>
          <w:divBdr>
            <w:top w:val="none" w:sz="0" w:space="0" w:color="auto"/>
            <w:left w:val="none" w:sz="0" w:space="0" w:color="auto"/>
            <w:bottom w:val="none" w:sz="0" w:space="0" w:color="auto"/>
            <w:right w:val="none" w:sz="0" w:space="0" w:color="auto"/>
          </w:divBdr>
        </w:div>
        <w:div w:id="660817864">
          <w:marLeft w:val="0"/>
          <w:marRight w:val="0"/>
          <w:marTop w:val="0"/>
          <w:marBottom w:val="0"/>
          <w:divBdr>
            <w:top w:val="none" w:sz="0" w:space="0" w:color="auto"/>
            <w:left w:val="none" w:sz="0" w:space="0" w:color="auto"/>
            <w:bottom w:val="none" w:sz="0" w:space="0" w:color="auto"/>
            <w:right w:val="none" w:sz="0" w:space="0" w:color="auto"/>
          </w:divBdr>
        </w:div>
        <w:div w:id="677007821">
          <w:marLeft w:val="0"/>
          <w:marRight w:val="0"/>
          <w:marTop w:val="0"/>
          <w:marBottom w:val="0"/>
          <w:divBdr>
            <w:top w:val="none" w:sz="0" w:space="0" w:color="auto"/>
            <w:left w:val="none" w:sz="0" w:space="0" w:color="auto"/>
            <w:bottom w:val="none" w:sz="0" w:space="0" w:color="auto"/>
            <w:right w:val="none" w:sz="0" w:space="0" w:color="auto"/>
          </w:divBdr>
        </w:div>
        <w:div w:id="728194176">
          <w:marLeft w:val="0"/>
          <w:marRight w:val="0"/>
          <w:marTop w:val="0"/>
          <w:marBottom w:val="0"/>
          <w:divBdr>
            <w:top w:val="none" w:sz="0" w:space="0" w:color="auto"/>
            <w:left w:val="none" w:sz="0" w:space="0" w:color="auto"/>
            <w:bottom w:val="none" w:sz="0" w:space="0" w:color="auto"/>
            <w:right w:val="none" w:sz="0" w:space="0" w:color="auto"/>
          </w:divBdr>
        </w:div>
        <w:div w:id="863640670">
          <w:marLeft w:val="0"/>
          <w:marRight w:val="0"/>
          <w:marTop w:val="0"/>
          <w:marBottom w:val="0"/>
          <w:divBdr>
            <w:top w:val="none" w:sz="0" w:space="0" w:color="auto"/>
            <w:left w:val="none" w:sz="0" w:space="0" w:color="auto"/>
            <w:bottom w:val="none" w:sz="0" w:space="0" w:color="auto"/>
            <w:right w:val="none" w:sz="0" w:space="0" w:color="auto"/>
          </w:divBdr>
        </w:div>
        <w:div w:id="999693570">
          <w:marLeft w:val="0"/>
          <w:marRight w:val="0"/>
          <w:marTop w:val="0"/>
          <w:marBottom w:val="0"/>
          <w:divBdr>
            <w:top w:val="none" w:sz="0" w:space="0" w:color="auto"/>
            <w:left w:val="none" w:sz="0" w:space="0" w:color="auto"/>
            <w:bottom w:val="none" w:sz="0" w:space="0" w:color="auto"/>
            <w:right w:val="none" w:sz="0" w:space="0" w:color="auto"/>
          </w:divBdr>
        </w:div>
        <w:div w:id="1003584668">
          <w:marLeft w:val="0"/>
          <w:marRight w:val="0"/>
          <w:marTop w:val="0"/>
          <w:marBottom w:val="0"/>
          <w:divBdr>
            <w:top w:val="none" w:sz="0" w:space="0" w:color="auto"/>
            <w:left w:val="none" w:sz="0" w:space="0" w:color="auto"/>
            <w:bottom w:val="none" w:sz="0" w:space="0" w:color="auto"/>
            <w:right w:val="none" w:sz="0" w:space="0" w:color="auto"/>
          </w:divBdr>
        </w:div>
        <w:div w:id="1013647383">
          <w:marLeft w:val="0"/>
          <w:marRight w:val="0"/>
          <w:marTop w:val="0"/>
          <w:marBottom w:val="0"/>
          <w:divBdr>
            <w:top w:val="none" w:sz="0" w:space="0" w:color="auto"/>
            <w:left w:val="none" w:sz="0" w:space="0" w:color="auto"/>
            <w:bottom w:val="none" w:sz="0" w:space="0" w:color="auto"/>
            <w:right w:val="none" w:sz="0" w:space="0" w:color="auto"/>
          </w:divBdr>
        </w:div>
        <w:div w:id="1127120720">
          <w:marLeft w:val="0"/>
          <w:marRight w:val="0"/>
          <w:marTop w:val="0"/>
          <w:marBottom w:val="0"/>
          <w:divBdr>
            <w:top w:val="none" w:sz="0" w:space="0" w:color="auto"/>
            <w:left w:val="none" w:sz="0" w:space="0" w:color="auto"/>
            <w:bottom w:val="none" w:sz="0" w:space="0" w:color="auto"/>
            <w:right w:val="none" w:sz="0" w:space="0" w:color="auto"/>
          </w:divBdr>
        </w:div>
        <w:div w:id="1236669742">
          <w:marLeft w:val="0"/>
          <w:marRight w:val="0"/>
          <w:marTop w:val="0"/>
          <w:marBottom w:val="0"/>
          <w:divBdr>
            <w:top w:val="none" w:sz="0" w:space="0" w:color="auto"/>
            <w:left w:val="none" w:sz="0" w:space="0" w:color="auto"/>
            <w:bottom w:val="none" w:sz="0" w:space="0" w:color="auto"/>
            <w:right w:val="none" w:sz="0" w:space="0" w:color="auto"/>
          </w:divBdr>
        </w:div>
        <w:div w:id="1263152474">
          <w:marLeft w:val="0"/>
          <w:marRight w:val="0"/>
          <w:marTop w:val="0"/>
          <w:marBottom w:val="0"/>
          <w:divBdr>
            <w:top w:val="none" w:sz="0" w:space="0" w:color="auto"/>
            <w:left w:val="none" w:sz="0" w:space="0" w:color="auto"/>
            <w:bottom w:val="none" w:sz="0" w:space="0" w:color="auto"/>
            <w:right w:val="none" w:sz="0" w:space="0" w:color="auto"/>
          </w:divBdr>
        </w:div>
        <w:div w:id="1310086974">
          <w:marLeft w:val="0"/>
          <w:marRight w:val="0"/>
          <w:marTop w:val="0"/>
          <w:marBottom w:val="0"/>
          <w:divBdr>
            <w:top w:val="none" w:sz="0" w:space="0" w:color="auto"/>
            <w:left w:val="none" w:sz="0" w:space="0" w:color="auto"/>
            <w:bottom w:val="none" w:sz="0" w:space="0" w:color="auto"/>
            <w:right w:val="none" w:sz="0" w:space="0" w:color="auto"/>
          </w:divBdr>
        </w:div>
        <w:div w:id="1322076376">
          <w:marLeft w:val="0"/>
          <w:marRight w:val="0"/>
          <w:marTop w:val="0"/>
          <w:marBottom w:val="0"/>
          <w:divBdr>
            <w:top w:val="none" w:sz="0" w:space="0" w:color="auto"/>
            <w:left w:val="none" w:sz="0" w:space="0" w:color="auto"/>
            <w:bottom w:val="none" w:sz="0" w:space="0" w:color="auto"/>
            <w:right w:val="none" w:sz="0" w:space="0" w:color="auto"/>
          </w:divBdr>
        </w:div>
        <w:div w:id="1420760596">
          <w:marLeft w:val="0"/>
          <w:marRight w:val="0"/>
          <w:marTop w:val="0"/>
          <w:marBottom w:val="0"/>
          <w:divBdr>
            <w:top w:val="none" w:sz="0" w:space="0" w:color="auto"/>
            <w:left w:val="none" w:sz="0" w:space="0" w:color="auto"/>
            <w:bottom w:val="none" w:sz="0" w:space="0" w:color="auto"/>
            <w:right w:val="none" w:sz="0" w:space="0" w:color="auto"/>
          </w:divBdr>
        </w:div>
        <w:div w:id="1465737492">
          <w:marLeft w:val="0"/>
          <w:marRight w:val="0"/>
          <w:marTop w:val="0"/>
          <w:marBottom w:val="0"/>
          <w:divBdr>
            <w:top w:val="none" w:sz="0" w:space="0" w:color="auto"/>
            <w:left w:val="none" w:sz="0" w:space="0" w:color="auto"/>
            <w:bottom w:val="none" w:sz="0" w:space="0" w:color="auto"/>
            <w:right w:val="none" w:sz="0" w:space="0" w:color="auto"/>
          </w:divBdr>
        </w:div>
        <w:div w:id="1555386059">
          <w:marLeft w:val="0"/>
          <w:marRight w:val="0"/>
          <w:marTop w:val="0"/>
          <w:marBottom w:val="0"/>
          <w:divBdr>
            <w:top w:val="none" w:sz="0" w:space="0" w:color="auto"/>
            <w:left w:val="none" w:sz="0" w:space="0" w:color="auto"/>
            <w:bottom w:val="none" w:sz="0" w:space="0" w:color="auto"/>
            <w:right w:val="none" w:sz="0" w:space="0" w:color="auto"/>
          </w:divBdr>
        </w:div>
        <w:div w:id="1562977952">
          <w:marLeft w:val="0"/>
          <w:marRight w:val="0"/>
          <w:marTop w:val="0"/>
          <w:marBottom w:val="0"/>
          <w:divBdr>
            <w:top w:val="none" w:sz="0" w:space="0" w:color="auto"/>
            <w:left w:val="none" w:sz="0" w:space="0" w:color="auto"/>
            <w:bottom w:val="none" w:sz="0" w:space="0" w:color="auto"/>
            <w:right w:val="none" w:sz="0" w:space="0" w:color="auto"/>
          </w:divBdr>
        </w:div>
        <w:div w:id="1720591303">
          <w:marLeft w:val="0"/>
          <w:marRight w:val="0"/>
          <w:marTop w:val="0"/>
          <w:marBottom w:val="0"/>
          <w:divBdr>
            <w:top w:val="none" w:sz="0" w:space="0" w:color="auto"/>
            <w:left w:val="none" w:sz="0" w:space="0" w:color="auto"/>
            <w:bottom w:val="none" w:sz="0" w:space="0" w:color="auto"/>
            <w:right w:val="none" w:sz="0" w:space="0" w:color="auto"/>
          </w:divBdr>
        </w:div>
        <w:div w:id="1732002434">
          <w:marLeft w:val="0"/>
          <w:marRight w:val="0"/>
          <w:marTop w:val="0"/>
          <w:marBottom w:val="0"/>
          <w:divBdr>
            <w:top w:val="none" w:sz="0" w:space="0" w:color="auto"/>
            <w:left w:val="none" w:sz="0" w:space="0" w:color="auto"/>
            <w:bottom w:val="none" w:sz="0" w:space="0" w:color="auto"/>
            <w:right w:val="none" w:sz="0" w:space="0" w:color="auto"/>
          </w:divBdr>
        </w:div>
        <w:div w:id="1772581398">
          <w:marLeft w:val="0"/>
          <w:marRight w:val="0"/>
          <w:marTop w:val="0"/>
          <w:marBottom w:val="0"/>
          <w:divBdr>
            <w:top w:val="none" w:sz="0" w:space="0" w:color="auto"/>
            <w:left w:val="none" w:sz="0" w:space="0" w:color="auto"/>
            <w:bottom w:val="none" w:sz="0" w:space="0" w:color="auto"/>
            <w:right w:val="none" w:sz="0" w:space="0" w:color="auto"/>
          </w:divBdr>
        </w:div>
        <w:div w:id="1791128719">
          <w:marLeft w:val="0"/>
          <w:marRight w:val="0"/>
          <w:marTop w:val="0"/>
          <w:marBottom w:val="0"/>
          <w:divBdr>
            <w:top w:val="none" w:sz="0" w:space="0" w:color="auto"/>
            <w:left w:val="none" w:sz="0" w:space="0" w:color="auto"/>
            <w:bottom w:val="none" w:sz="0" w:space="0" w:color="auto"/>
            <w:right w:val="none" w:sz="0" w:space="0" w:color="auto"/>
          </w:divBdr>
        </w:div>
        <w:div w:id="1794129981">
          <w:marLeft w:val="0"/>
          <w:marRight w:val="0"/>
          <w:marTop w:val="0"/>
          <w:marBottom w:val="0"/>
          <w:divBdr>
            <w:top w:val="none" w:sz="0" w:space="0" w:color="auto"/>
            <w:left w:val="none" w:sz="0" w:space="0" w:color="auto"/>
            <w:bottom w:val="none" w:sz="0" w:space="0" w:color="auto"/>
            <w:right w:val="none" w:sz="0" w:space="0" w:color="auto"/>
          </w:divBdr>
        </w:div>
        <w:div w:id="1832527639">
          <w:marLeft w:val="0"/>
          <w:marRight w:val="0"/>
          <w:marTop w:val="0"/>
          <w:marBottom w:val="0"/>
          <w:divBdr>
            <w:top w:val="none" w:sz="0" w:space="0" w:color="auto"/>
            <w:left w:val="none" w:sz="0" w:space="0" w:color="auto"/>
            <w:bottom w:val="none" w:sz="0" w:space="0" w:color="auto"/>
            <w:right w:val="none" w:sz="0" w:space="0" w:color="auto"/>
          </w:divBdr>
        </w:div>
        <w:div w:id="1869833860">
          <w:marLeft w:val="0"/>
          <w:marRight w:val="0"/>
          <w:marTop w:val="0"/>
          <w:marBottom w:val="0"/>
          <w:divBdr>
            <w:top w:val="none" w:sz="0" w:space="0" w:color="auto"/>
            <w:left w:val="none" w:sz="0" w:space="0" w:color="auto"/>
            <w:bottom w:val="none" w:sz="0" w:space="0" w:color="auto"/>
            <w:right w:val="none" w:sz="0" w:space="0" w:color="auto"/>
          </w:divBdr>
        </w:div>
        <w:div w:id="1879274714">
          <w:marLeft w:val="0"/>
          <w:marRight w:val="0"/>
          <w:marTop w:val="0"/>
          <w:marBottom w:val="0"/>
          <w:divBdr>
            <w:top w:val="none" w:sz="0" w:space="0" w:color="auto"/>
            <w:left w:val="none" w:sz="0" w:space="0" w:color="auto"/>
            <w:bottom w:val="none" w:sz="0" w:space="0" w:color="auto"/>
            <w:right w:val="none" w:sz="0" w:space="0" w:color="auto"/>
          </w:divBdr>
        </w:div>
        <w:div w:id="1880431388">
          <w:marLeft w:val="0"/>
          <w:marRight w:val="0"/>
          <w:marTop w:val="0"/>
          <w:marBottom w:val="0"/>
          <w:divBdr>
            <w:top w:val="none" w:sz="0" w:space="0" w:color="auto"/>
            <w:left w:val="none" w:sz="0" w:space="0" w:color="auto"/>
            <w:bottom w:val="none" w:sz="0" w:space="0" w:color="auto"/>
            <w:right w:val="none" w:sz="0" w:space="0" w:color="auto"/>
          </w:divBdr>
        </w:div>
        <w:div w:id="1955674217">
          <w:marLeft w:val="0"/>
          <w:marRight w:val="0"/>
          <w:marTop w:val="0"/>
          <w:marBottom w:val="0"/>
          <w:divBdr>
            <w:top w:val="none" w:sz="0" w:space="0" w:color="auto"/>
            <w:left w:val="none" w:sz="0" w:space="0" w:color="auto"/>
            <w:bottom w:val="none" w:sz="0" w:space="0" w:color="auto"/>
            <w:right w:val="none" w:sz="0" w:space="0" w:color="auto"/>
          </w:divBdr>
        </w:div>
        <w:div w:id="1962835404">
          <w:marLeft w:val="0"/>
          <w:marRight w:val="0"/>
          <w:marTop w:val="0"/>
          <w:marBottom w:val="0"/>
          <w:divBdr>
            <w:top w:val="none" w:sz="0" w:space="0" w:color="auto"/>
            <w:left w:val="none" w:sz="0" w:space="0" w:color="auto"/>
            <w:bottom w:val="none" w:sz="0" w:space="0" w:color="auto"/>
            <w:right w:val="none" w:sz="0" w:space="0" w:color="auto"/>
          </w:divBdr>
        </w:div>
        <w:div w:id="2005470082">
          <w:marLeft w:val="0"/>
          <w:marRight w:val="0"/>
          <w:marTop w:val="0"/>
          <w:marBottom w:val="0"/>
          <w:divBdr>
            <w:top w:val="none" w:sz="0" w:space="0" w:color="auto"/>
            <w:left w:val="none" w:sz="0" w:space="0" w:color="auto"/>
            <w:bottom w:val="none" w:sz="0" w:space="0" w:color="auto"/>
            <w:right w:val="none" w:sz="0" w:space="0" w:color="auto"/>
          </w:divBdr>
        </w:div>
        <w:div w:id="2031837758">
          <w:marLeft w:val="0"/>
          <w:marRight w:val="0"/>
          <w:marTop w:val="0"/>
          <w:marBottom w:val="0"/>
          <w:divBdr>
            <w:top w:val="none" w:sz="0" w:space="0" w:color="auto"/>
            <w:left w:val="none" w:sz="0" w:space="0" w:color="auto"/>
            <w:bottom w:val="none" w:sz="0" w:space="0" w:color="auto"/>
            <w:right w:val="none" w:sz="0" w:space="0" w:color="auto"/>
          </w:divBdr>
        </w:div>
        <w:div w:id="2115048257">
          <w:marLeft w:val="0"/>
          <w:marRight w:val="0"/>
          <w:marTop w:val="0"/>
          <w:marBottom w:val="0"/>
          <w:divBdr>
            <w:top w:val="none" w:sz="0" w:space="0" w:color="auto"/>
            <w:left w:val="none" w:sz="0" w:space="0" w:color="auto"/>
            <w:bottom w:val="none" w:sz="0" w:space="0" w:color="auto"/>
            <w:right w:val="none" w:sz="0" w:space="0" w:color="auto"/>
          </w:divBdr>
        </w:div>
      </w:divsChild>
    </w:div>
    <w:div w:id="224685395">
      <w:bodyDiv w:val="1"/>
      <w:marLeft w:val="0"/>
      <w:marRight w:val="0"/>
      <w:marTop w:val="0"/>
      <w:marBottom w:val="0"/>
      <w:divBdr>
        <w:top w:val="none" w:sz="0" w:space="0" w:color="auto"/>
        <w:left w:val="none" w:sz="0" w:space="0" w:color="auto"/>
        <w:bottom w:val="none" w:sz="0" w:space="0" w:color="auto"/>
        <w:right w:val="none" w:sz="0" w:space="0" w:color="auto"/>
      </w:divBdr>
    </w:div>
    <w:div w:id="608633727">
      <w:bodyDiv w:val="1"/>
      <w:marLeft w:val="0"/>
      <w:marRight w:val="0"/>
      <w:marTop w:val="0"/>
      <w:marBottom w:val="0"/>
      <w:divBdr>
        <w:top w:val="none" w:sz="0" w:space="0" w:color="auto"/>
        <w:left w:val="none" w:sz="0" w:space="0" w:color="auto"/>
        <w:bottom w:val="none" w:sz="0" w:space="0" w:color="auto"/>
        <w:right w:val="none" w:sz="0" w:space="0" w:color="auto"/>
      </w:divBdr>
      <w:divsChild>
        <w:div w:id="1117214657">
          <w:marLeft w:val="0"/>
          <w:marRight w:val="0"/>
          <w:marTop w:val="0"/>
          <w:marBottom w:val="0"/>
          <w:divBdr>
            <w:top w:val="none" w:sz="0" w:space="0" w:color="auto"/>
            <w:left w:val="none" w:sz="0" w:space="0" w:color="auto"/>
            <w:bottom w:val="none" w:sz="0" w:space="0" w:color="auto"/>
            <w:right w:val="none" w:sz="0" w:space="0" w:color="auto"/>
          </w:divBdr>
          <w:divsChild>
            <w:div w:id="9668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7378">
      <w:bodyDiv w:val="1"/>
      <w:marLeft w:val="0"/>
      <w:marRight w:val="0"/>
      <w:marTop w:val="0"/>
      <w:marBottom w:val="0"/>
      <w:divBdr>
        <w:top w:val="none" w:sz="0" w:space="0" w:color="auto"/>
        <w:left w:val="none" w:sz="0" w:space="0" w:color="auto"/>
        <w:bottom w:val="none" w:sz="0" w:space="0" w:color="auto"/>
        <w:right w:val="none" w:sz="0" w:space="0" w:color="auto"/>
      </w:divBdr>
      <w:divsChild>
        <w:div w:id="461387942">
          <w:marLeft w:val="0"/>
          <w:marRight w:val="0"/>
          <w:marTop w:val="0"/>
          <w:marBottom w:val="0"/>
          <w:divBdr>
            <w:top w:val="none" w:sz="0" w:space="0" w:color="auto"/>
            <w:left w:val="none" w:sz="0" w:space="0" w:color="auto"/>
            <w:bottom w:val="none" w:sz="0" w:space="0" w:color="auto"/>
            <w:right w:val="none" w:sz="0" w:space="0" w:color="auto"/>
          </w:divBdr>
        </w:div>
        <w:div w:id="827550262">
          <w:marLeft w:val="0"/>
          <w:marRight w:val="0"/>
          <w:marTop w:val="0"/>
          <w:marBottom w:val="0"/>
          <w:divBdr>
            <w:top w:val="none" w:sz="0" w:space="0" w:color="auto"/>
            <w:left w:val="none" w:sz="0" w:space="0" w:color="auto"/>
            <w:bottom w:val="none" w:sz="0" w:space="0" w:color="auto"/>
            <w:right w:val="none" w:sz="0" w:space="0" w:color="auto"/>
          </w:divBdr>
        </w:div>
        <w:div w:id="1266381776">
          <w:marLeft w:val="0"/>
          <w:marRight w:val="0"/>
          <w:marTop w:val="0"/>
          <w:marBottom w:val="0"/>
          <w:divBdr>
            <w:top w:val="none" w:sz="0" w:space="0" w:color="auto"/>
            <w:left w:val="none" w:sz="0" w:space="0" w:color="auto"/>
            <w:bottom w:val="none" w:sz="0" w:space="0" w:color="auto"/>
            <w:right w:val="none" w:sz="0" w:space="0" w:color="auto"/>
          </w:divBdr>
        </w:div>
      </w:divsChild>
    </w:div>
    <w:div w:id="1096362262">
      <w:bodyDiv w:val="1"/>
      <w:marLeft w:val="0"/>
      <w:marRight w:val="0"/>
      <w:marTop w:val="0"/>
      <w:marBottom w:val="0"/>
      <w:divBdr>
        <w:top w:val="none" w:sz="0" w:space="0" w:color="auto"/>
        <w:left w:val="none" w:sz="0" w:space="0" w:color="auto"/>
        <w:bottom w:val="none" w:sz="0" w:space="0" w:color="auto"/>
        <w:right w:val="none" w:sz="0" w:space="0" w:color="auto"/>
      </w:divBdr>
      <w:divsChild>
        <w:div w:id="738133569">
          <w:marLeft w:val="0"/>
          <w:marRight w:val="0"/>
          <w:marTop w:val="0"/>
          <w:marBottom w:val="200"/>
          <w:divBdr>
            <w:top w:val="none" w:sz="0" w:space="0" w:color="auto"/>
            <w:left w:val="none" w:sz="0" w:space="0" w:color="auto"/>
            <w:bottom w:val="none" w:sz="0" w:space="0" w:color="auto"/>
            <w:right w:val="none" w:sz="0" w:space="0" w:color="auto"/>
          </w:divBdr>
        </w:div>
        <w:div w:id="1882859601">
          <w:marLeft w:val="0"/>
          <w:marRight w:val="0"/>
          <w:marTop w:val="0"/>
          <w:marBottom w:val="200"/>
          <w:divBdr>
            <w:top w:val="none" w:sz="0" w:space="0" w:color="auto"/>
            <w:left w:val="none" w:sz="0" w:space="0" w:color="auto"/>
            <w:bottom w:val="none" w:sz="0" w:space="0" w:color="auto"/>
            <w:right w:val="none" w:sz="0" w:space="0" w:color="auto"/>
          </w:divBdr>
        </w:div>
        <w:div w:id="1257400157">
          <w:marLeft w:val="0"/>
          <w:marRight w:val="0"/>
          <w:marTop w:val="0"/>
          <w:marBottom w:val="200"/>
          <w:divBdr>
            <w:top w:val="none" w:sz="0" w:space="0" w:color="auto"/>
            <w:left w:val="none" w:sz="0" w:space="0" w:color="auto"/>
            <w:bottom w:val="none" w:sz="0" w:space="0" w:color="auto"/>
            <w:right w:val="none" w:sz="0" w:space="0" w:color="auto"/>
          </w:divBdr>
        </w:div>
        <w:div w:id="52579957">
          <w:marLeft w:val="0"/>
          <w:marRight w:val="0"/>
          <w:marTop w:val="0"/>
          <w:marBottom w:val="200"/>
          <w:divBdr>
            <w:top w:val="none" w:sz="0" w:space="0" w:color="auto"/>
            <w:left w:val="none" w:sz="0" w:space="0" w:color="auto"/>
            <w:bottom w:val="none" w:sz="0" w:space="0" w:color="auto"/>
            <w:right w:val="none" w:sz="0" w:space="0" w:color="auto"/>
          </w:divBdr>
        </w:div>
        <w:div w:id="1970014285">
          <w:marLeft w:val="0"/>
          <w:marRight w:val="0"/>
          <w:marTop w:val="0"/>
          <w:marBottom w:val="200"/>
          <w:divBdr>
            <w:top w:val="none" w:sz="0" w:space="0" w:color="auto"/>
            <w:left w:val="none" w:sz="0" w:space="0" w:color="auto"/>
            <w:bottom w:val="none" w:sz="0" w:space="0" w:color="auto"/>
            <w:right w:val="none" w:sz="0" w:space="0" w:color="auto"/>
          </w:divBdr>
        </w:div>
        <w:div w:id="2083209701">
          <w:marLeft w:val="0"/>
          <w:marRight w:val="0"/>
          <w:marTop w:val="0"/>
          <w:marBottom w:val="200"/>
          <w:divBdr>
            <w:top w:val="none" w:sz="0" w:space="0" w:color="auto"/>
            <w:left w:val="none" w:sz="0" w:space="0" w:color="auto"/>
            <w:bottom w:val="none" w:sz="0" w:space="0" w:color="auto"/>
            <w:right w:val="none" w:sz="0" w:space="0" w:color="auto"/>
          </w:divBdr>
        </w:div>
        <w:div w:id="2095278456">
          <w:marLeft w:val="0"/>
          <w:marRight w:val="0"/>
          <w:marTop w:val="0"/>
          <w:marBottom w:val="200"/>
          <w:divBdr>
            <w:top w:val="none" w:sz="0" w:space="0" w:color="auto"/>
            <w:left w:val="none" w:sz="0" w:space="0" w:color="auto"/>
            <w:bottom w:val="none" w:sz="0" w:space="0" w:color="auto"/>
            <w:right w:val="none" w:sz="0" w:space="0" w:color="auto"/>
          </w:divBdr>
        </w:div>
      </w:divsChild>
    </w:div>
    <w:div w:id="1154295999">
      <w:bodyDiv w:val="1"/>
      <w:marLeft w:val="0"/>
      <w:marRight w:val="0"/>
      <w:marTop w:val="0"/>
      <w:marBottom w:val="0"/>
      <w:divBdr>
        <w:top w:val="none" w:sz="0" w:space="0" w:color="auto"/>
        <w:left w:val="none" w:sz="0" w:space="0" w:color="auto"/>
        <w:bottom w:val="none" w:sz="0" w:space="0" w:color="auto"/>
        <w:right w:val="none" w:sz="0" w:space="0" w:color="auto"/>
      </w:divBdr>
      <w:divsChild>
        <w:div w:id="991909362">
          <w:marLeft w:val="0"/>
          <w:marRight w:val="0"/>
          <w:marTop w:val="0"/>
          <w:marBottom w:val="200"/>
          <w:divBdr>
            <w:top w:val="none" w:sz="0" w:space="0" w:color="auto"/>
            <w:left w:val="none" w:sz="0" w:space="0" w:color="auto"/>
            <w:bottom w:val="none" w:sz="0" w:space="0" w:color="auto"/>
            <w:right w:val="none" w:sz="0" w:space="0" w:color="auto"/>
          </w:divBdr>
        </w:div>
        <w:div w:id="1301426139">
          <w:marLeft w:val="0"/>
          <w:marRight w:val="0"/>
          <w:marTop w:val="0"/>
          <w:marBottom w:val="200"/>
          <w:divBdr>
            <w:top w:val="none" w:sz="0" w:space="0" w:color="auto"/>
            <w:left w:val="none" w:sz="0" w:space="0" w:color="auto"/>
            <w:bottom w:val="none" w:sz="0" w:space="0" w:color="auto"/>
            <w:right w:val="none" w:sz="0" w:space="0" w:color="auto"/>
          </w:divBdr>
        </w:div>
        <w:div w:id="43146169">
          <w:marLeft w:val="0"/>
          <w:marRight w:val="0"/>
          <w:marTop w:val="0"/>
          <w:marBottom w:val="200"/>
          <w:divBdr>
            <w:top w:val="none" w:sz="0" w:space="0" w:color="auto"/>
            <w:left w:val="none" w:sz="0" w:space="0" w:color="auto"/>
            <w:bottom w:val="none" w:sz="0" w:space="0" w:color="auto"/>
            <w:right w:val="none" w:sz="0" w:space="0" w:color="auto"/>
          </w:divBdr>
        </w:div>
        <w:div w:id="1739400390">
          <w:marLeft w:val="0"/>
          <w:marRight w:val="0"/>
          <w:marTop w:val="0"/>
          <w:marBottom w:val="200"/>
          <w:divBdr>
            <w:top w:val="none" w:sz="0" w:space="0" w:color="auto"/>
            <w:left w:val="none" w:sz="0" w:space="0" w:color="auto"/>
            <w:bottom w:val="none" w:sz="0" w:space="0" w:color="auto"/>
            <w:right w:val="none" w:sz="0" w:space="0" w:color="auto"/>
          </w:divBdr>
        </w:div>
        <w:div w:id="1274171163">
          <w:marLeft w:val="0"/>
          <w:marRight w:val="0"/>
          <w:marTop w:val="0"/>
          <w:marBottom w:val="200"/>
          <w:divBdr>
            <w:top w:val="none" w:sz="0" w:space="0" w:color="auto"/>
            <w:left w:val="none" w:sz="0" w:space="0" w:color="auto"/>
            <w:bottom w:val="none" w:sz="0" w:space="0" w:color="auto"/>
            <w:right w:val="none" w:sz="0" w:space="0" w:color="auto"/>
          </w:divBdr>
        </w:div>
        <w:div w:id="1432238654">
          <w:marLeft w:val="0"/>
          <w:marRight w:val="0"/>
          <w:marTop w:val="0"/>
          <w:marBottom w:val="200"/>
          <w:divBdr>
            <w:top w:val="none" w:sz="0" w:space="0" w:color="auto"/>
            <w:left w:val="none" w:sz="0" w:space="0" w:color="auto"/>
            <w:bottom w:val="none" w:sz="0" w:space="0" w:color="auto"/>
            <w:right w:val="none" w:sz="0" w:space="0" w:color="auto"/>
          </w:divBdr>
        </w:div>
        <w:div w:id="1736391325">
          <w:marLeft w:val="0"/>
          <w:marRight w:val="0"/>
          <w:marTop w:val="0"/>
          <w:marBottom w:val="200"/>
          <w:divBdr>
            <w:top w:val="none" w:sz="0" w:space="0" w:color="auto"/>
            <w:left w:val="none" w:sz="0" w:space="0" w:color="auto"/>
            <w:bottom w:val="none" w:sz="0" w:space="0" w:color="auto"/>
            <w:right w:val="none" w:sz="0" w:space="0" w:color="auto"/>
          </w:divBdr>
        </w:div>
      </w:divsChild>
    </w:div>
    <w:div w:id="1170214561">
      <w:bodyDiv w:val="1"/>
      <w:marLeft w:val="0"/>
      <w:marRight w:val="0"/>
      <w:marTop w:val="0"/>
      <w:marBottom w:val="0"/>
      <w:divBdr>
        <w:top w:val="none" w:sz="0" w:space="0" w:color="auto"/>
        <w:left w:val="none" w:sz="0" w:space="0" w:color="auto"/>
        <w:bottom w:val="none" w:sz="0" w:space="0" w:color="auto"/>
        <w:right w:val="none" w:sz="0" w:space="0" w:color="auto"/>
      </w:divBdr>
      <w:divsChild>
        <w:div w:id="742215727">
          <w:marLeft w:val="0"/>
          <w:marRight w:val="0"/>
          <w:marTop w:val="0"/>
          <w:marBottom w:val="0"/>
          <w:divBdr>
            <w:top w:val="none" w:sz="0" w:space="0" w:color="auto"/>
            <w:left w:val="none" w:sz="0" w:space="0" w:color="auto"/>
            <w:bottom w:val="none" w:sz="0" w:space="0" w:color="auto"/>
            <w:right w:val="none" w:sz="0" w:space="0" w:color="auto"/>
          </w:divBdr>
          <w:divsChild>
            <w:div w:id="1334991306">
              <w:marLeft w:val="0"/>
              <w:marRight w:val="0"/>
              <w:marTop w:val="0"/>
              <w:marBottom w:val="0"/>
              <w:divBdr>
                <w:top w:val="none" w:sz="0" w:space="0" w:color="auto"/>
                <w:left w:val="none" w:sz="0" w:space="0" w:color="auto"/>
                <w:bottom w:val="none" w:sz="0" w:space="0" w:color="auto"/>
                <w:right w:val="none" w:sz="0" w:space="0" w:color="auto"/>
              </w:divBdr>
            </w:div>
          </w:divsChild>
        </w:div>
        <w:div w:id="1012487162">
          <w:marLeft w:val="0"/>
          <w:marRight w:val="0"/>
          <w:marTop w:val="0"/>
          <w:marBottom w:val="0"/>
          <w:divBdr>
            <w:top w:val="none" w:sz="0" w:space="0" w:color="auto"/>
            <w:left w:val="none" w:sz="0" w:space="0" w:color="auto"/>
            <w:bottom w:val="none" w:sz="0" w:space="0" w:color="auto"/>
            <w:right w:val="none" w:sz="0" w:space="0" w:color="auto"/>
          </w:divBdr>
        </w:div>
      </w:divsChild>
    </w:div>
    <w:div w:id="1207184594">
      <w:bodyDiv w:val="1"/>
      <w:marLeft w:val="0"/>
      <w:marRight w:val="0"/>
      <w:marTop w:val="0"/>
      <w:marBottom w:val="0"/>
      <w:divBdr>
        <w:top w:val="none" w:sz="0" w:space="0" w:color="auto"/>
        <w:left w:val="none" w:sz="0" w:space="0" w:color="auto"/>
        <w:bottom w:val="none" w:sz="0" w:space="0" w:color="auto"/>
        <w:right w:val="none" w:sz="0" w:space="0" w:color="auto"/>
      </w:divBdr>
      <w:divsChild>
        <w:div w:id="977566423">
          <w:marLeft w:val="0"/>
          <w:marRight w:val="0"/>
          <w:marTop w:val="0"/>
          <w:marBottom w:val="0"/>
          <w:divBdr>
            <w:top w:val="none" w:sz="0" w:space="0" w:color="auto"/>
            <w:left w:val="none" w:sz="0" w:space="0" w:color="auto"/>
            <w:bottom w:val="none" w:sz="0" w:space="0" w:color="auto"/>
            <w:right w:val="none" w:sz="0" w:space="0" w:color="auto"/>
          </w:divBdr>
          <w:divsChild>
            <w:div w:id="209932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2156">
      <w:bodyDiv w:val="1"/>
      <w:marLeft w:val="0"/>
      <w:marRight w:val="0"/>
      <w:marTop w:val="0"/>
      <w:marBottom w:val="0"/>
      <w:divBdr>
        <w:top w:val="none" w:sz="0" w:space="0" w:color="auto"/>
        <w:left w:val="none" w:sz="0" w:space="0" w:color="auto"/>
        <w:bottom w:val="none" w:sz="0" w:space="0" w:color="auto"/>
        <w:right w:val="none" w:sz="0" w:space="0" w:color="auto"/>
      </w:divBdr>
      <w:divsChild>
        <w:div w:id="1654525334">
          <w:marLeft w:val="0"/>
          <w:marRight w:val="0"/>
          <w:marTop w:val="0"/>
          <w:marBottom w:val="0"/>
          <w:divBdr>
            <w:top w:val="none" w:sz="0" w:space="0" w:color="auto"/>
            <w:left w:val="none" w:sz="0" w:space="0" w:color="auto"/>
            <w:bottom w:val="none" w:sz="0" w:space="0" w:color="auto"/>
            <w:right w:val="none" w:sz="0" w:space="0" w:color="auto"/>
          </w:divBdr>
          <w:divsChild>
            <w:div w:id="160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7572">
      <w:bodyDiv w:val="1"/>
      <w:marLeft w:val="0"/>
      <w:marRight w:val="0"/>
      <w:marTop w:val="0"/>
      <w:marBottom w:val="0"/>
      <w:divBdr>
        <w:top w:val="none" w:sz="0" w:space="0" w:color="auto"/>
        <w:left w:val="none" w:sz="0" w:space="0" w:color="auto"/>
        <w:bottom w:val="none" w:sz="0" w:space="0" w:color="auto"/>
        <w:right w:val="none" w:sz="0" w:space="0" w:color="auto"/>
      </w:divBdr>
      <w:divsChild>
        <w:div w:id="1698240706">
          <w:marLeft w:val="0"/>
          <w:marRight w:val="0"/>
          <w:marTop w:val="0"/>
          <w:marBottom w:val="0"/>
          <w:divBdr>
            <w:top w:val="none" w:sz="0" w:space="0" w:color="auto"/>
            <w:left w:val="none" w:sz="0" w:space="0" w:color="auto"/>
            <w:bottom w:val="none" w:sz="0" w:space="0" w:color="auto"/>
            <w:right w:val="none" w:sz="0" w:space="0" w:color="auto"/>
          </w:divBdr>
          <w:divsChild>
            <w:div w:id="14382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2299">
      <w:bodyDiv w:val="1"/>
      <w:marLeft w:val="0"/>
      <w:marRight w:val="0"/>
      <w:marTop w:val="0"/>
      <w:marBottom w:val="0"/>
      <w:divBdr>
        <w:top w:val="none" w:sz="0" w:space="0" w:color="auto"/>
        <w:left w:val="none" w:sz="0" w:space="0" w:color="auto"/>
        <w:bottom w:val="none" w:sz="0" w:space="0" w:color="auto"/>
        <w:right w:val="none" w:sz="0" w:space="0" w:color="auto"/>
      </w:divBdr>
    </w:div>
    <w:div w:id="1671907285">
      <w:bodyDiv w:val="1"/>
      <w:marLeft w:val="0"/>
      <w:marRight w:val="0"/>
      <w:marTop w:val="0"/>
      <w:marBottom w:val="0"/>
      <w:divBdr>
        <w:top w:val="none" w:sz="0" w:space="0" w:color="auto"/>
        <w:left w:val="none" w:sz="0" w:space="0" w:color="auto"/>
        <w:bottom w:val="none" w:sz="0" w:space="0" w:color="auto"/>
        <w:right w:val="none" w:sz="0" w:space="0" w:color="auto"/>
      </w:divBdr>
      <w:divsChild>
        <w:div w:id="1794710879">
          <w:marLeft w:val="0"/>
          <w:marRight w:val="0"/>
          <w:marTop w:val="0"/>
          <w:marBottom w:val="0"/>
          <w:divBdr>
            <w:top w:val="none" w:sz="0" w:space="0" w:color="auto"/>
            <w:left w:val="none" w:sz="0" w:space="0" w:color="auto"/>
            <w:bottom w:val="none" w:sz="0" w:space="0" w:color="auto"/>
            <w:right w:val="none" w:sz="0" w:space="0" w:color="auto"/>
          </w:divBdr>
          <w:divsChild>
            <w:div w:id="18911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89213">
      <w:bodyDiv w:val="1"/>
      <w:marLeft w:val="0"/>
      <w:marRight w:val="0"/>
      <w:marTop w:val="0"/>
      <w:marBottom w:val="0"/>
      <w:divBdr>
        <w:top w:val="none" w:sz="0" w:space="0" w:color="auto"/>
        <w:left w:val="none" w:sz="0" w:space="0" w:color="auto"/>
        <w:bottom w:val="none" w:sz="0" w:space="0" w:color="auto"/>
        <w:right w:val="none" w:sz="0" w:space="0" w:color="auto"/>
      </w:divBdr>
    </w:div>
    <w:div w:id="1890532207">
      <w:bodyDiv w:val="1"/>
      <w:marLeft w:val="0"/>
      <w:marRight w:val="0"/>
      <w:marTop w:val="0"/>
      <w:marBottom w:val="0"/>
      <w:divBdr>
        <w:top w:val="none" w:sz="0" w:space="0" w:color="auto"/>
        <w:left w:val="none" w:sz="0" w:space="0" w:color="auto"/>
        <w:bottom w:val="none" w:sz="0" w:space="0" w:color="auto"/>
        <w:right w:val="none" w:sz="0" w:space="0" w:color="auto"/>
      </w:divBdr>
    </w:div>
    <w:div w:id="21241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Lauren%20Winchester\Desktop\Combine%20Habeas\Hostile%20Acts%20Grant%20Den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District Court</a:t>
            </a:r>
            <a:r>
              <a:rPr lang="en-US" sz="1200" baseline="0"/>
              <a:t> Decisions</a:t>
            </a:r>
          </a:p>
          <a:p>
            <a:pPr>
              <a:defRPr/>
            </a:pPr>
            <a:r>
              <a:rPr lang="en-US" sz="1200" baseline="0"/>
              <a:t>Pre-</a:t>
            </a:r>
            <a:r>
              <a:rPr lang="en-US" sz="1200" i="1" baseline="0"/>
              <a:t>Adahi</a:t>
            </a:r>
            <a:endParaRPr lang="en-US" sz="1200"/>
          </a:p>
        </c:rich>
      </c:tx>
      <c:overlay val="0"/>
    </c:title>
    <c:autoTitleDeleted val="0"/>
    <c:plotArea>
      <c:layout/>
      <c:pieChart>
        <c:varyColors val="1"/>
        <c:ser>
          <c:idx val="0"/>
          <c:order val="0"/>
          <c:dLbls>
            <c:dLblPos val="ctr"/>
            <c:showLegendKey val="0"/>
            <c:showVal val="1"/>
            <c:showCatName val="0"/>
            <c:showSerName val="0"/>
            <c:showPercent val="1"/>
            <c:showBubbleSize val="0"/>
            <c:separator>
</c:separator>
            <c:showLeaderLines val="1"/>
          </c:dLbls>
          <c:cat>
            <c:strRef>
              <c:f>'Bin Laden'!$A$15:$A$16</c:f>
              <c:strCache>
                <c:ptCount val="2"/>
                <c:pt idx="0">
                  <c:v>Grant</c:v>
                </c:pt>
                <c:pt idx="1">
                  <c:v>Deny</c:v>
                </c:pt>
              </c:strCache>
            </c:strRef>
          </c:cat>
          <c:val>
            <c:numRef>
              <c:f>'Bin Laden'!$B$15:$B$16</c:f>
              <c:numCache>
                <c:formatCode>General</c:formatCode>
                <c:ptCount val="2"/>
                <c:pt idx="0">
                  <c:v>19</c:v>
                </c:pt>
                <c:pt idx="1">
                  <c:v>15</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a:t>Training</a:t>
            </a:r>
            <a:r>
              <a:rPr lang="en-US" baseline="0"/>
              <a:t> Camps</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a:t>Grant/Deny by Court's Reaction </a:t>
            </a:r>
            <a:endParaRPr lang="en-US" sz="1200"/>
          </a:p>
        </c:rich>
      </c:tx>
      <c:overlay val="0"/>
    </c:title>
    <c:autoTitleDeleted val="0"/>
    <c:plotArea>
      <c:layout/>
      <c:barChart>
        <c:barDir val="col"/>
        <c:grouping val="stacked"/>
        <c:varyColors val="0"/>
        <c:ser>
          <c:idx val="0"/>
          <c:order val="0"/>
          <c:tx>
            <c:strRef>
              <c:f>'Training Camps'!$I$4</c:f>
              <c:strCache>
                <c:ptCount val="1"/>
                <c:pt idx="0">
                  <c:v>Grant</c:v>
                </c:pt>
              </c:strCache>
            </c:strRef>
          </c:tx>
          <c:invertIfNegative val="0"/>
          <c:dLbls>
            <c:dLblPos val="inEnd"/>
            <c:showLegendKey val="0"/>
            <c:showVal val="1"/>
            <c:showCatName val="0"/>
            <c:showSerName val="0"/>
            <c:showPercent val="0"/>
            <c:showBubbleSize val="0"/>
            <c:showLeaderLines val="0"/>
          </c:dLbls>
          <c:cat>
            <c:strRef>
              <c:f>'Training Camps'!$H$5:$H$7</c:f>
              <c:strCache>
                <c:ptCount val="3"/>
                <c:pt idx="0">
                  <c:v>Accept</c:v>
                </c:pt>
                <c:pt idx="1">
                  <c:v>Reject</c:v>
                </c:pt>
                <c:pt idx="2">
                  <c:v>Silent</c:v>
                </c:pt>
              </c:strCache>
            </c:strRef>
          </c:cat>
          <c:val>
            <c:numRef>
              <c:f>'Training Camps'!$I$5:$I$7</c:f>
              <c:numCache>
                <c:formatCode>General</c:formatCode>
                <c:ptCount val="3"/>
                <c:pt idx="0">
                  <c:v>3</c:v>
                </c:pt>
                <c:pt idx="1">
                  <c:v>7</c:v>
                </c:pt>
                <c:pt idx="2">
                  <c:v>1</c:v>
                </c:pt>
              </c:numCache>
            </c:numRef>
          </c:val>
        </c:ser>
        <c:ser>
          <c:idx val="1"/>
          <c:order val="1"/>
          <c:tx>
            <c:strRef>
              <c:f>'Training Camps'!$J$4</c:f>
              <c:strCache>
                <c:ptCount val="1"/>
                <c:pt idx="0">
                  <c:v>Deny</c:v>
                </c:pt>
              </c:strCache>
            </c:strRef>
          </c:tx>
          <c:invertIfNegative val="0"/>
          <c:dLbls>
            <c:dLblPos val="inEnd"/>
            <c:showLegendKey val="0"/>
            <c:showVal val="1"/>
            <c:showCatName val="0"/>
            <c:showSerName val="0"/>
            <c:showPercent val="0"/>
            <c:showBubbleSize val="0"/>
            <c:showLeaderLines val="0"/>
          </c:dLbls>
          <c:cat>
            <c:strRef>
              <c:f>'Training Camps'!$H$5:$H$7</c:f>
              <c:strCache>
                <c:ptCount val="3"/>
                <c:pt idx="0">
                  <c:v>Accept</c:v>
                </c:pt>
                <c:pt idx="1">
                  <c:v>Reject</c:v>
                </c:pt>
                <c:pt idx="2">
                  <c:v>Silent</c:v>
                </c:pt>
              </c:strCache>
            </c:strRef>
          </c:cat>
          <c:val>
            <c:numRef>
              <c:f>'Training Camps'!$J$5:$J$7</c:f>
              <c:numCache>
                <c:formatCode>General</c:formatCode>
                <c:ptCount val="3"/>
                <c:pt idx="0">
                  <c:v>12</c:v>
                </c:pt>
                <c:pt idx="1">
                  <c:v>2</c:v>
                </c:pt>
                <c:pt idx="2">
                  <c:v>3</c:v>
                </c:pt>
              </c:numCache>
            </c:numRef>
          </c:val>
        </c:ser>
        <c:dLbls>
          <c:showLegendKey val="0"/>
          <c:showVal val="1"/>
          <c:showCatName val="0"/>
          <c:showSerName val="0"/>
          <c:showPercent val="0"/>
          <c:showBubbleSize val="0"/>
        </c:dLbls>
        <c:gapWidth val="150"/>
        <c:overlap val="100"/>
        <c:axId val="79234944"/>
        <c:axId val="79257600"/>
      </c:barChart>
      <c:catAx>
        <c:axId val="79234944"/>
        <c:scaling>
          <c:orientation val="minMax"/>
        </c:scaling>
        <c:delete val="0"/>
        <c:axPos val="b"/>
        <c:title>
          <c:tx>
            <c:rich>
              <a:bodyPr/>
              <a:lstStyle/>
              <a:p>
                <a:pPr>
                  <a:defRPr/>
                </a:pPr>
                <a:r>
                  <a:rPr lang="en-US"/>
                  <a:t>Court's Reaction to Allegation</a:t>
                </a:r>
              </a:p>
            </c:rich>
          </c:tx>
          <c:overlay val="0"/>
        </c:title>
        <c:majorTickMark val="out"/>
        <c:minorTickMark val="none"/>
        <c:tickLblPos val="nextTo"/>
        <c:crossAx val="79257600"/>
        <c:crosses val="autoZero"/>
        <c:auto val="1"/>
        <c:lblAlgn val="ctr"/>
        <c:lblOffset val="100"/>
        <c:noMultiLvlLbl val="0"/>
      </c:catAx>
      <c:valAx>
        <c:axId val="79257600"/>
        <c:scaling>
          <c:orientation val="minMax"/>
        </c:scaling>
        <c:delete val="0"/>
        <c:axPos val="l"/>
        <c:majorGridlines/>
        <c:numFmt formatCode="General" sourceLinked="1"/>
        <c:majorTickMark val="out"/>
        <c:minorTickMark val="none"/>
        <c:tickLblPos val="nextTo"/>
        <c:crossAx val="7923494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Training Camps</a:t>
            </a:r>
          </a:p>
          <a:p>
            <a:pPr>
              <a:defRPr/>
            </a:pPr>
            <a:r>
              <a:rPr lang="en-US"/>
              <a:t>Pre-</a:t>
            </a:r>
            <a:r>
              <a:rPr lang="en-US" i="1"/>
              <a:t>Adahi</a:t>
            </a:r>
            <a:endParaRPr lang="en-US"/>
          </a:p>
        </c:rich>
      </c:tx>
      <c:overlay val="0"/>
    </c:title>
    <c:autoTitleDeleted val="0"/>
    <c:plotArea>
      <c:layout/>
      <c:pieChart>
        <c:varyColors val="1"/>
        <c:ser>
          <c:idx val="0"/>
          <c:order val="0"/>
          <c:dLbls>
            <c:showLegendKey val="0"/>
            <c:showVal val="1"/>
            <c:showCatName val="0"/>
            <c:showSerName val="0"/>
            <c:showPercent val="1"/>
            <c:showBubbleSize val="0"/>
            <c:separator>
</c:separator>
            <c:showLeaderLines val="1"/>
          </c:dLbls>
          <c:cat>
            <c:strRef>
              <c:f>'Training Camps'!$I$12:$I$14</c:f>
              <c:strCache>
                <c:ptCount val="3"/>
                <c:pt idx="0">
                  <c:v>Accept</c:v>
                </c:pt>
                <c:pt idx="1">
                  <c:v>Reject</c:v>
                </c:pt>
                <c:pt idx="2">
                  <c:v>Silent</c:v>
                </c:pt>
              </c:strCache>
            </c:strRef>
          </c:cat>
          <c:val>
            <c:numRef>
              <c:f>'Training Camps'!$J$12:$J$14</c:f>
              <c:numCache>
                <c:formatCode>General</c:formatCode>
                <c:ptCount val="3"/>
                <c:pt idx="0">
                  <c:v>11</c:v>
                </c:pt>
                <c:pt idx="1">
                  <c:v>8</c:v>
                </c:pt>
                <c:pt idx="2">
                  <c:v>2</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Training Camps</a:t>
            </a:r>
          </a:p>
          <a:p>
            <a:pPr>
              <a:defRPr/>
            </a:pPr>
            <a:r>
              <a:rPr lang="en-US"/>
              <a:t>Post-</a:t>
            </a:r>
            <a:r>
              <a:rPr lang="en-US" i="1"/>
              <a:t>Adahi</a:t>
            </a:r>
            <a:endParaRPr lang="en-US"/>
          </a:p>
        </c:rich>
      </c:tx>
      <c:overlay val="0"/>
    </c:title>
    <c:autoTitleDeleted val="0"/>
    <c:plotArea>
      <c:layout/>
      <c:pieChart>
        <c:varyColors val="1"/>
        <c:ser>
          <c:idx val="0"/>
          <c:order val="0"/>
          <c:dLbls>
            <c:showLegendKey val="0"/>
            <c:showVal val="1"/>
            <c:showCatName val="0"/>
            <c:showSerName val="0"/>
            <c:showPercent val="1"/>
            <c:showBubbleSize val="0"/>
            <c:separator>
</c:separator>
            <c:showLeaderLines val="1"/>
          </c:dLbls>
          <c:cat>
            <c:strRef>
              <c:f>'Training Camps'!$I$16:$I$18</c:f>
              <c:strCache>
                <c:ptCount val="3"/>
                <c:pt idx="0">
                  <c:v>Accept</c:v>
                </c:pt>
                <c:pt idx="1">
                  <c:v>Reject</c:v>
                </c:pt>
                <c:pt idx="2">
                  <c:v>Silent</c:v>
                </c:pt>
              </c:strCache>
            </c:strRef>
          </c:cat>
          <c:val>
            <c:numRef>
              <c:f>'Training Camps'!$J$16:$J$18</c:f>
              <c:numCache>
                <c:formatCode>General</c:formatCode>
                <c:ptCount val="3"/>
                <c:pt idx="0">
                  <c:v>4</c:v>
                </c:pt>
                <c:pt idx="1">
                  <c:v>1</c:v>
                </c:pt>
                <c:pt idx="2">
                  <c:v>2</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Travel</a:t>
            </a:r>
          </a:p>
          <a:p>
            <a:pPr>
              <a:defRPr/>
            </a:pPr>
            <a:r>
              <a:rPr lang="en-US" sz="1200"/>
              <a:t>Grant/Deny by Court's Reaction</a:t>
            </a:r>
          </a:p>
        </c:rich>
      </c:tx>
      <c:overlay val="0"/>
    </c:title>
    <c:autoTitleDeleted val="0"/>
    <c:plotArea>
      <c:layout/>
      <c:barChart>
        <c:barDir val="col"/>
        <c:grouping val="stacked"/>
        <c:varyColors val="0"/>
        <c:ser>
          <c:idx val="0"/>
          <c:order val="0"/>
          <c:tx>
            <c:strRef>
              <c:f>Travel!$I$7</c:f>
              <c:strCache>
                <c:ptCount val="1"/>
                <c:pt idx="0">
                  <c:v>Grant</c:v>
                </c:pt>
              </c:strCache>
            </c:strRef>
          </c:tx>
          <c:invertIfNegative val="0"/>
          <c:dLbls>
            <c:dLblPos val="inEnd"/>
            <c:showLegendKey val="0"/>
            <c:showVal val="1"/>
            <c:showCatName val="0"/>
            <c:showSerName val="0"/>
            <c:showPercent val="0"/>
            <c:showBubbleSize val="0"/>
            <c:showLeaderLines val="0"/>
          </c:dLbls>
          <c:cat>
            <c:strRef>
              <c:f>Travel!$H$8:$H$10</c:f>
              <c:strCache>
                <c:ptCount val="3"/>
                <c:pt idx="0">
                  <c:v>Accept</c:v>
                </c:pt>
                <c:pt idx="1">
                  <c:v>Reject</c:v>
                </c:pt>
                <c:pt idx="2">
                  <c:v>Silent</c:v>
                </c:pt>
              </c:strCache>
            </c:strRef>
          </c:cat>
          <c:val>
            <c:numRef>
              <c:f>Travel!$I$8:$I$10</c:f>
              <c:numCache>
                <c:formatCode>General</c:formatCode>
                <c:ptCount val="3"/>
                <c:pt idx="0">
                  <c:v>4</c:v>
                </c:pt>
                <c:pt idx="1">
                  <c:v>10</c:v>
                </c:pt>
                <c:pt idx="2">
                  <c:v>4</c:v>
                </c:pt>
              </c:numCache>
            </c:numRef>
          </c:val>
        </c:ser>
        <c:ser>
          <c:idx val="1"/>
          <c:order val="1"/>
          <c:tx>
            <c:strRef>
              <c:f>Travel!$J$7</c:f>
              <c:strCache>
                <c:ptCount val="1"/>
                <c:pt idx="0">
                  <c:v>Deny</c:v>
                </c:pt>
              </c:strCache>
            </c:strRef>
          </c:tx>
          <c:invertIfNegative val="0"/>
          <c:dLbls>
            <c:dLblPos val="inEnd"/>
            <c:showLegendKey val="0"/>
            <c:showVal val="1"/>
            <c:showCatName val="0"/>
            <c:showSerName val="0"/>
            <c:showPercent val="0"/>
            <c:showBubbleSize val="0"/>
            <c:showLeaderLines val="0"/>
          </c:dLbls>
          <c:cat>
            <c:strRef>
              <c:f>Travel!$H$8:$H$10</c:f>
              <c:strCache>
                <c:ptCount val="3"/>
                <c:pt idx="0">
                  <c:v>Accept</c:v>
                </c:pt>
                <c:pt idx="1">
                  <c:v>Reject</c:v>
                </c:pt>
                <c:pt idx="2">
                  <c:v>Silent</c:v>
                </c:pt>
              </c:strCache>
            </c:strRef>
          </c:cat>
          <c:val>
            <c:numRef>
              <c:f>Travel!$J$8:$J$10</c:f>
              <c:numCache>
                <c:formatCode>General</c:formatCode>
                <c:ptCount val="3"/>
                <c:pt idx="0">
                  <c:v>14</c:v>
                </c:pt>
                <c:pt idx="1">
                  <c:v>1</c:v>
                </c:pt>
                <c:pt idx="2">
                  <c:v>3</c:v>
                </c:pt>
              </c:numCache>
            </c:numRef>
          </c:val>
        </c:ser>
        <c:dLbls>
          <c:showLegendKey val="0"/>
          <c:showVal val="1"/>
          <c:showCatName val="0"/>
          <c:showSerName val="0"/>
          <c:showPercent val="0"/>
          <c:showBubbleSize val="0"/>
        </c:dLbls>
        <c:gapWidth val="150"/>
        <c:overlap val="100"/>
        <c:axId val="79355264"/>
        <c:axId val="79521280"/>
      </c:barChart>
      <c:catAx>
        <c:axId val="79355264"/>
        <c:scaling>
          <c:orientation val="minMax"/>
        </c:scaling>
        <c:delete val="0"/>
        <c:axPos val="b"/>
        <c:title>
          <c:tx>
            <c:rich>
              <a:bodyPr/>
              <a:lstStyle/>
              <a:p>
                <a:pPr>
                  <a:defRPr/>
                </a:pPr>
                <a:r>
                  <a:rPr lang="en-US"/>
                  <a:t>Court's Reaction to Allegation</a:t>
                </a:r>
              </a:p>
            </c:rich>
          </c:tx>
          <c:overlay val="0"/>
        </c:title>
        <c:majorTickMark val="out"/>
        <c:minorTickMark val="none"/>
        <c:tickLblPos val="nextTo"/>
        <c:crossAx val="79521280"/>
        <c:crosses val="autoZero"/>
        <c:auto val="1"/>
        <c:lblAlgn val="ctr"/>
        <c:lblOffset val="100"/>
        <c:noMultiLvlLbl val="0"/>
      </c:catAx>
      <c:valAx>
        <c:axId val="79521280"/>
        <c:scaling>
          <c:orientation val="minMax"/>
        </c:scaling>
        <c:delete val="0"/>
        <c:axPos val="l"/>
        <c:majorGridlines/>
        <c:numFmt formatCode="General" sourceLinked="1"/>
        <c:majorTickMark val="out"/>
        <c:minorTickMark val="none"/>
        <c:tickLblPos val="nextTo"/>
        <c:crossAx val="79355264"/>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Travel</a:t>
            </a:r>
          </a:p>
          <a:p>
            <a:pPr>
              <a:defRPr/>
            </a:pPr>
            <a:r>
              <a:rPr lang="en-US"/>
              <a:t>Pre-</a:t>
            </a:r>
            <a:r>
              <a:rPr lang="en-US" i="1"/>
              <a:t>Adahi</a:t>
            </a:r>
            <a:endParaRPr lang="en-US"/>
          </a:p>
        </c:rich>
      </c:tx>
      <c:overlay val="0"/>
    </c:title>
    <c:autoTitleDeleted val="0"/>
    <c:plotArea>
      <c:layout/>
      <c:pieChart>
        <c:varyColors val="1"/>
        <c:ser>
          <c:idx val="0"/>
          <c:order val="0"/>
          <c:dLbls>
            <c:showLegendKey val="0"/>
            <c:showVal val="1"/>
            <c:showCatName val="0"/>
            <c:showSerName val="0"/>
            <c:showPercent val="1"/>
            <c:showBubbleSize val="0"/>
            <c:separator>
</c:separator>
            <c:showLeaderLines val="1"/>
          </c:dLbls>
          <c:cat>
            <c:strRef>
              <c:f>Travel!$H$14:$H$16</c:f>
              <c:strCache>
                <c:ptCount val="3"/>
                <c:pt idx="0">
                  <c:v>Accept</c:v>
                </c:pt>
                <c:pt idx="1">
                  <c:v>Reject</c:v>
                </c:pt>
                <c:pt idx="2">
                  <c:v>Silent</c:v>
                </c:pt>
              </c:strCache>
            </c:strRef>
          </c:cat>
          <c:val>
            <c:numRef>
              <c:f>Travel!$I$14:$I$16</c:f>
              <c:numCache>
                <c:formatCode>General</c:formatCode>
                <c:ptCount val="3"/>
                <c:pt idx="0">
                  <c:v>13</c:v>
                </c:pt>
                <c:pt idx="1">
                  <c:v>9</c:v>
                </c:pt>
                <c:pt idx="2">
                  <c:v>5</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Travel</a:t>
            </a:r>
          </a:p>
          <a:p>
            <a:pPr>
              <a:defRPr/>
            </a:pPr>
            <a:r>
              <a:rPr lang="en-US"/>
              <a:t>Post-</a:t>
            </a:r>
            <a:r>
              <a:rPr lang="en-US" i="1"/>
              <a:t>Adahi</a:t>
            </a:r>
            <a:endParaRPr lang="en-US"/>
          </a:p>
        </c:rich>
      </c:tx>
      <c:overlay val="0"/>
    </c:title>
    <c:autoTitleDeleted val="0"/>
    <c:plotArea>
      <c:layout/>
      <c:pieChart>
        <c:varyColors val="1"/>
        <c:ser>
          <c:idx val="0"/>
          <c:order val="0"/>
          <c:dLbls>
            <c:showLegendKey val="0"/>
            <c:showVal val="1"/>
            <c:showCatName val="0"/>
            <c:showSerName val="0"/>
            <c:showPercent val="1"/>
            <c:showBubbleSize val="0"/>
            <c:separator>
</c:separator>
            <c:showLeaderLines val="1"/>
          </c:dLbls>
          <c:cat>
            <c:strRef>
              <c:f>Travel!$H$18:$H$20</c:f>
              <c:strCache>
                <c:ptCount val="3"/>
                <c:pt idx="0">
                  <c:v>Accept</c:v>
                </c:pt>
                <c:pt idx="1">
                  <c:v>Reject</c:v>
                </c:pt>
                <c:pt idx="2">
                  <c:v>Silent</c:v>
                </c:pt>
              </c:strCache>
            </c:strRef>
          </c:cat>
          <c:val>
            <c:numRef>
              <c:f>Travel!$I$18:$I$20</c:f>
              <c:numCache>
                <c:formatCode>General</c:formatCode>
                <c:ptCount val="3"/>
                <c:pt idx="0">
                  <c:v>5</c:v>
                </c:pt>
                <c:pt idx="1">
                  <c:v>2</c:v>
                </c:pt>
                <c:pt idx="2">
                  <c:v>2</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Court's Reaction to Combined Allegations</a:t>
            </a:r>
          </a:p>
          <a:p>
            <a:pPr>
              <a:defRPr/>
            </a:pPr>
            <a:r>
              <a:rPr lang="en-US" sz="1400"/>
              <a:t>Pre-</a:t>
            </a:r>
            <a:r>
              <a:rPr lang="en-US" sz="1400" i="1"/>
              <a:t>Adahi</a:t>
            </a:r>
            <a:endParaRPr lang="en-US" sz="1400"/>
          </a:p>
        </c:rich>
      </c:tx>
      <c:overlay val="0"/>
    </c:title>
    <c:autoTitleDeleted val="0"/>
    <c:plotArea>
      <c:layout/>
      <c:pieChart>
        <c:varyColors val="1"/>
        <c:ser>
          <c:idx val="0"/>
          <c:order val="0"/>
          <c:tx>
            <c:strRef>
              <c:f>Sheet8!$B$1</c:f>
              <c:strCache>
                <c:ptCount val="1"/>
                <c:pt idx="0">
                  <c:v>Pre</c:v>
                </c:pt>
              </c:strCache>
            </c:strRef>
          </c:tx>
          <c:dLbls>
            <c:dLblPos val="ctr"/>
            <c:showLegendKey val="0"/>
            <c:showVal val="1"/>
            <c:showCatName val="0"/>
            <c:showSerName val="0"/>
            <c:showPercent val="1"/>
            <c:showBubbleSize val="0"/>
            <c:separator>
</c:separator>
            <c:showLeaderLines val="1"/>
          </c:dLbls>
          <c:cat>
            <c:strRef>
              <c:f>Sheet8!$A$2:$A$4</c:f>
              <c:strCache>
                <c:ptCount val="3"/>
                <c:pt idx="0">
                  <c:v>Accepted</c:v>
                </c:pt>
                <c:pt idx="1">
                  <c:v>Rejected</c:v>
                </c:pt>
                <c:pt idx="2">
                  <c:v>Silent </c:v>
                </c:pt>
              </c:strCache>
            </c:strRef>
          </c:cat>
          <c:val>
            <c:numRef>
              <c:f>Sheet8!$B$2:$B$4</c:f>
              <c:numCache>
                <c:formatCode>General</c:formatCode>
                <c:ptCount val="3"/>
                <c:pt idx="0">
                  <c:v>41</c:v>
                </c:pt>
                <c:pt idx="1">
                  <c:v>34</c:v>
                </c:pt>
                <c:pt idx="2">
                  <c:v>10</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400" b="1" i="0" baseline="0"/>
              <a:t>Court's Reaction to Combined Allegations</a:t>
            </a:r>
            <a:endParaRPr lang="en-US" sz="1400"/>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400"/>
              <a:t>Post-</a:t>
            </a:r>
            <a:r>
              <a:rPr lang="en-US" sz="1400" i="1" baseline="0"/>
              <a:t>Adahi</a:t>
            </a:r>
            <a:endParaRPr lang="en-US" sz="1400"/>
          </a:p>
        </c:rich>
      </c:tx>
      <c:overlay val="0"/>
    </c:title>
    <c:autoTitleDeleted val="0"/>
    <c:plotArea>
      <c:layout/>
      <c:pieChart>
        <c:varyColors val="1"/>
        <c:ser>
          <c:idx val="0"/>
          <c:order val="0"/>
          <c:tx>
            <c:strRef>
              <c:f>Sheet8!$B$6</c:f>
              <c:strCache>
                <c:ptCount val="1"/>
                <c:pt idx="0">
                  <c:v>Post</c:v>
                </c:pt>
              </c:strCache>
            </c:strRef>
          </c:tx>
          <c:dLbls>
            <c:dLblPos val="ctr"/>
            <c:showLegendKey val="0"/>
            <c:showVal val="1"/>
            <c:showCatName val="0"/>
            <c:showSerName val="0"/>
            <c:showPercent val="1"/>
            <c:showBubbleSize val="0"/>
            <c:separator>
</c:separator>
            <c:showLeaderLines val="1"/>
          </c:dLbls>
          <c:cat>
            <c:strRef>
              <c:f>Sheet8!$A$7:$A$9</c:f>
              <c:strCache>
                <c:ptCount val="3"/>
                <c:pt idx="0">
                  <c:v>Accepted</c:v>
                </c:pt>
                <c:pt idx="1">
                  <c:v>Rejected</c:v>
                </c:pt>
                <c:pt idx="2">
                  <c:v>Silent </c:v>
                </c:pt>
              </c:strCache>
            </c:strRef>
          </c:cat>
          <c:val>
            <c:numRef>
              <c:f>Sheet8!$B$7:$B$9</c:f>
              <c:numCache>
                <c:formatCode>General</c:formatCode>
                <c:ptCount val="3"/>
                <c:pt idx="0">
                  <c:v>17</c:v>
                </c:pt>
                <c:pt idx="1">
                  <c:v>4</c:v>
                </c:pt>
                <c:pt idx="2">
                  <c:v>8</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Hostile Acts</a:t>
            </a:r>
          </a:p>
          <a:p>
            <a:pPr>
              <a:defRPr/>
            </a:pPr>
            <a:r>
              <a:rPr lang="en-US" sz="1200"/>
              <a:t>Grant/Deny</a:t>
            </a:r>
            <a:r>
              <a:rPr lang="en-US" sz="1200" baseline="0"/>
              <a:t> by Court's Reaction</a:t>
            </a:r>
            <a:endParaRPr lang="en-US" sz="1200"/>
          </a:p>
        </c:rich>
      </c:tx>
      <c:overlay val="0"/>
    </c:title>
    <c:autoTitleDeleted val="0"/>
    <c:plotArea>
      <c:layout/>
      <c:barChart>
        <c:barDir val="col"/>
        <c:grouping val="stacked"/>
        <c:varyColors val="0"/>
        <c:ser>
          <c:idx val="0"/>
          <c:order val="0"/>
          <c:tx>
            <c:strRef>
              <c:f>'Hostile Acts'!$I$2</c:f>
              <c:strCache>
                <c:ptCount val="1"/>
                <c:pt idx="0">
                  <c:v>Grant</c:v>
                </c:pt>
              </c:strCache>
            </c:strRef>
          </c:tx>
          <c:invertIfNegative val="0"/>
          <c:dLbls>
            <c:dLblPos val="inEnd"/>
            <c:showLegendKey val="0"/>
            <c:showVal val="1"/>
            <c:showCatName val="0"/>
            <c:showSerName val="0"/>
            <c:showPercent val="0"/>
            <c:showBubbleSize val="0"/>
            <c:showLeaderLines val="0"/>
          </c:dLbls>
          <c:cat>
            <c:strRef>
              <c:f>'Hostile Acts'!$H$3:$H$5</c:f>
              <c:strCache>
                <c:ptCount val="3"/>
                <c:pt idx="0">
                  <c:v>Accept</c:v>
                </c:pt>
                <c:pt idx="1">
                  <c:v>Reject</c:v>
                </c:pt>
                <c:pt idx="2">
                  <c:v>Silent</c:v>
                </c:pt>
              </c:strCache>
            </c:strRef>
          </c:cat>
          <c:val>
            <c:numRef>
              <c:f>'Hostile Acts'!$I$3:$I$5</c:f>
              <c:numCache>
                <c:formatCode>General</c:formatCode>
                <c:ptCount val="3"/>
                <c:pt idx="0">
                  <c:v>0</c:v>
                </c:pt>
                <c:pt idx="1">
                  <c:v>6</c:v>
                </c:pt>
                <c:pt idx="2">
                  <c:v>1</c:v>
                </c:pt>
              </c:numCache>
            </c:numRef>
          </c:val>
        </c:ser>
        <c:ser>
          <c:idx val="1"/>
          <c:order val="1"/>
          <c:tx>
            <c:strRef>
              <c:f>'Hostile Acts'!$J$2</c:f>
              <c:strCache>
                <c:ptCount val="1"/>
                <c:pt idx="0">
                  <c:v>Deny</c:v>
                </c:pt>
              </c:strCache>
            </c:strRef>
          </c:tx>
          <c:invertIfNegative val="0"/>
          <c:dLbls>
            <c:dLblPos val="inEnd"/>
            <c:showLegendKey val="0"/>
            <c:showVal val="1"/>
            <c:showCatName val="0"/>
            <c:showSerName val="0"/>
            <c:showPercent val="0"/>
            <c:showBubbleSize val="0"/>
            <c:showLeaderLines val="0"/>
          </c:dLbls>
          <c:cat>
            <c:strRef>
              <c:f>'Hostile Acts'!$H$3:$H$5</c:f>
              <c:strCache>
                <c:ptCount val="3"/>
                <c:pt idx="0">
                  <c:v>Accept</c:v>
                </c:pt>
                <c:pt idx="1">
                  <c:v>Reject</c:v>
                </c:pt>
                <c:pt idx="2">
                  <c:v>Silent</c:v>
                </c:pt>
              </c:strCache>
            </c:strRef>
          </c:cat>
          <c:val>
            <c:numRef>
              <c:f>'Hostile Acts'!$J$3:$J$5</c:f>
              <c:numCache>
                <c:formatCode>General</c:formatCode>
                <c:ptCount val="3"/>
                <c:pt idx="0">
                  <c:v>10</c:v>
                </c:pt>
                <c:pt idx="1">
                  <c:v>3</c:v>
                </c:pt>
                <c:pt idx="2">
                  <c:v>3</c:v>
                </c:pt>
              </c:numCache>
            </c:numRef>
          </c:val>
        </c:ser>
        <c:dLbls>
          <c:showLegendKey val="0"/>
          <c:showVal val="1"/>
          <c:showCatName val="0"/>
          <c:showSerName val="0"/>
          <c:showPercent val="0"/>
          <c:showBubbleSize val="0"/>
        </c:dLbls>
        <c:gapWidth val="150"/>
        <c:overlap val="100"/>
        <c:axId val="78814592"/>
        <c:axId val="78870016"/>
      </c:barChart>
      <c:catAx>
        <c:axId val="78814592"/>
        <c:scaling>
          <c:orientation val="minMax"/>
        </c:scaling>
        <c:delete val="0"/>
        <c:axPos val="b"/>
        <c:title>
          <c:tx>
            <c:rich>
              <a:bodyPr/>
              <a:lstStyle/>
              <a:p>
                <a:pPr>
                  <a:defRPr/>
                </a:pPr>
                <a:r>
                  <a:rPr lang="en-US"/>
                  <a:t>Court's Reaction</a:t>
                </a:r>
                <a:r>
                  <a:rPr lang="en-US" baseline="0"/>
                  <a:t> to Allegation</a:t>
                </a:r>
                <a:endParaRPr lang="en-US"/>
              </a:p>
            </c:rich>
          </c:tx>
          <c:overlay val="0"/>
        </c:title>
        <c:majorTickMark val="out"/>
        <c:minorTickMark val="none"/>
        <c:tickLblPos val="nextTo"/>
        <c:crossAx val="78870016"/>
        <c:crosses val="autoZero"/>
        <c:auto val="1"/>
        <c:lblAlgn val="ctr"/>
        <c:lblOffset val="100"/>
        <c:noMultiLvlLbl val="0"/>
      </c:catAx>
      <c:valAx>
        <c:axId val="78870016"/>
        <c:scaling>
          <c:orientation val="minMax"/>
        </c:scaling>
        <c:delete val="0"/>
        <c:axPos val="l"/>
        <c:majorGridlines/>
        <c:numFmt formatCode="General" sourceLinked="1"/>
        <c:majorTickMark val="out"/>
        <c:minorTickMark val="none"/>
        <c:tickLblPos val="nextTo"/>
        <c:crossAx val="788145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Hostile Acts</a:t>
            </a:r>
          </a:p>
          <a:p>
            <a:pPr>
              <a:defRPr/>
            </a:pPr>
            <a:r>
              <a:rPr lang="en-US"/>
              <a:t>Pre-</a:t>
            </a:r>
            <a:r>
              <a:rPr lang="en-US" i="1"/>
              <a:t>Adahi</a:t>
            </a:r>
            <a:endParaRPr lang="en-US"/>
          </a:p>
        </c:rich>
      </c:tx>
      <c:overlay val="0"/>
    </c:title>
    <c:autoTitleDeleted val="0"/>
    <c:plotArea>
      <c:layout/>
      <c:pieChart>
        <c:varyColors val="1"/>
        <c:ser>
          <c:idx val="0"/>
          <c:order val="0"/>
          <c:dLbls>
            <c:showLegendKey val="0"/>
            <c:showVal val="1"/>
            <c:showCatName val="0"/>
            <c:showSerName val="0"/>
            <c:showPercent val="1"/>
            <c:showBubbleSize val="0"/>
            <c:separator>
</c:separator>
            <c:showLeaderLines val="1"/>
          </c:dLbls>
          <c:cat>
            <c:strRef>
              <c:f>'Hostile Acts'!$J$9:$J$11</c:f>
              <c:strCache>
                <c:ptCount val="3"/>
                <c:pt idx="0">
                  <c:v>Accept</c:v>
                </c:pt>
                <c:pt idx="1">
                  <c:v>Reject</c:v>
                </c:pt>
                <c:pt idx="2">
                  <c:v>Silent</c:v>
                </c:pt>
              </c:strCache>
            </c:strRef>
          </c:cat>
          <c:val>
            <c:numRef>
              <c:f>'Hostile Acts'!$K$9:$K$11</c:f>
              <c:numCache>
                <c:formatCode>General</c:formatCode>
                <c:ptCount val="3"/>
                <c:pt idx="0">
                  <c:v>7</c:v>
                </c:pt>
                <c:pt idx="1">
                  <c:v>8</c:v>
                </c:pt>
                <c:pt idx="2">
                  <c:v>1</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Hostile Acts</a:t>
            </a:r>
          </a:p>
          <a:p>
            <a:pPr>
              <a:defRPr/>
            </a:pPr>
            <a:r>
              <a:rPr lang="en-US"/>
              <a:t>Post-</a:t>
            </a:r>
            <a:r>
              <a:rPr lang="en-US" i="1"/>
              <a:t>Adahi</a:t>
            </a:r>
            <a:endParaRPr lang="en-US"/>
          </a:p>
        </c:rich>
      </c:tx>
      <c:overlay val="0"/>
    </c:title>
    <c:autoTitleDeleted val="0"/>
    <c:plotArea>
      <c:layout/>
      <c:pieChart>
        <c:varyColors val="1"/>
        <c:ser>
          <c:idx val="0"/>
          <c:order val="0"/>
          <c:dLbls>
            <c:dLbl>
              <c:idx val="0"/>
              <c:tx>
                <c:rich>
                  <a:bodyPr/>
                  <a:lstStyle/>
                  <a:p>
                    <a:r>
                      <a:rPr lang="en-US"/>
                      <a:t>3</a:t>
                    </a:r>
                    <a:r>
                      <a:rPr lang="en-US" baseline="0"/>
                      <a:t> </a:t>
                    </a:r>
                  </a:p>
                  <a:p>
                    <a:r>
                      <a:rPr lang="en-US"/>
                      <a:t>43%</a:t>
                    </a:r>
                  </a:p>
                </c:rich>
              </c:tx>
              <c:showLegendKey val="0"/>
              <c:showVal val="1"/>
              <c:showCatName val="0"/>
              <c:showSerName val="0"/>
              <c:showPercent val="1"/>
              <c:showBubbleSize val="0"/>
              <c:separator>
</c:separator>
            </c:dLbl>
            <c:dLbl>
              <c:idx val="1"/>
              <c:tx>
                <c:rich>
                  <a:bodyPr/>
                  <a:lstStyle/>
                  <a:p>
                    <a:r>
                      <a:rPr lang="en-US"/>
                      <a:t>1</a:t>
                    </a:r>
                    <a:endParaRPr lang="en-US" baseline="0"/>
                  </a:p>
                  <a:p>
                    <a:r>
                      <a:rPr lang="en-US"/>
                      <a:t>14%</a:t>
                    </a:r>
                  </a:p>
                </c:rich>
              </c:tx>
              <c:showLegendKey val="0"/>
              <c:showVal val="1"/>
              <c:showCatName val="0"/>
              <c:showSerName val="0"/>
              <c:showPercent val="1"/>
              <c:showBubbleSize val="0"/>
              <c:separator>
</c:separator>
            </c:dLbl>
            <c:dLbl>
              <c:idx val="2"/>
              <c:tx>
                <c:rich>
                  <a:bodyPr/>
                  <a:lstStyle/>
                  <a:p>
                    <a:r>
                      <a:rPr lang="en-US"/>
                      <a:t>3</a:t>
                    </a:r>
                    <a:endParaRPr lang="en-US" baseline="0"/>
                  </a:p>
                  <a:p>
                    <a:r>
                      <a:rPr lang="en-US"/>
                      <a:t>43%</a:t>
                    </a:r>
                  </a:p>
                </c:rich>
              </c:tx>
              <c:showLegendKey val="0"/>
              <c:showVal val="1"/>
              <c:showCatName val="0"/>
              <c:showSerName val="0"/>
              <c:showPercent val="1"/>
              <c:showBubbleSize val="0"/>
              <c:separator>
</c:separator>
            </c:dLbl>
            <c:showLegendKey val="0"/>
            <c:showVal val="1"/>
            <c:showCatName val="0"/>
            <c:showSerName val="0"/>
            <c:showPercent val="1"/>
            <c:showBubbleSize val="0"/>
            <c:separator>
</c:separator>
            <c:showLeaderLines val="1"/>
          </c:dLbls>
          <c:cat>
            <c:strRef>
              <c:f>'Hostile Acts'!$J$13:$J$15</c:f>
              <c:strCache>
                <c:ptCount val="3"/>
                <c:pt idx="0">
                  <c:v>Accept</c:v>
                </c:pt>
                <c:pt idx="1">
                  <c:v>Reject</c:v>
                </c:pt>
                <c:pt idx="2">
                  <c:v>Silent</c:v>
                </c:pt>
              </c:strCache>
            </c:strRef>
          </c:cat>
          <c:val>
            <c:numRef>
              <c:f>'Hostile Acts'!$K$13:$K$15</c:f>
              <c:numCache>
                <c:formatCode>General</c:formatCode>
                <c:ptCount val="3"/>
                <c:pt idx="0">
                  <c:v>3</c:v>
                </c:pt>
                <c:pt idx="1">
                  <c:v>1</c:v>
                </c:pt>
                <c:pt idx="2">
                  <c:v>3</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Guesthouses</a:t>
            </a:r>
          </a:p>
          <a:p>
            <a:pPr>
              <a:defRPr/>
            </a:pPr>
            <a:r>
              <a:rPr lang="en-US" sz="1200"/>
              <a:t>Grant/Deny</a:t>
            </a:r>
            <a:r>
              <a:rPr lang="en-US" sz="1200" baseline="0"/>
              <a:t> by Court's Reaction</a:t>
            </a:r>
            <a:endParaRPr lang="en-US" sz="1200"/>
          </a:p>
        </c:rich>
      </c:tx>
      <c:overlay val="0"/>
    </c:title>
    <c:autoTitleDeleted val="0"/>
    <c:plotArea>
      <c:layout/>
      <c:barChart>
        <c:barDir val="col"/>
        <c:grouping val="stacked"/>
        <c:varyColors val="0"/>
        <c:ser>
          <c:idx val="0"/>
          <c:order val="0"/>
          <c:tx>
            <c:strRef>
              <c:f>Guesthouses!$I$5</c:f>
              <c:strCache>
                <c:ptCount val="1"/>
                <c:pt idx="0">
                  <c:v>Grant</c:v>
                </c:pt>
              </c:strCache>
            </c:strRef>
          </c:tx>
          <c:invertIfNegative val="0"/>
          <c:dLbls>
            <c:dLblPos val="inEnd"/>
            <c:showLegendKey val="0"/>
            <c:showVal val="1"/>
            <c:showCatName val="0"/>
            <c:showSerName val="0"/>
            <c:showPercent val="0"/>
            <c:showBubbleSize val="0"/>
            <c:showLeaderLines val="0"/>
          </c:dLbls>
          <c:cat>
            <c:strRef>
              <c:f>Guesthouses!$H$6:$H$8</c:f>
              <c:strCache>
                <c:ptCount val="3"/>
                <c:pt idx="0">
                  <c:v>Accept</c:v>
                </c:pt>
                <c:pt idx="1">
                  <c:v>Reject</c:v>
                </c:pt>
                <c:pt idx="2">
                  <c:v>Silent</c:v>
                </c:pt>
              </c:strCache>
            </c:strRef>
          </c:cat>
          <c:val>
            <c:numRef>
              <c:f>Guesthouses!$I$6:$I$8</c:f>
              <c:numCache>
                <c:formatCode>General</c:formatCode>
                <c:ptCount val="3"/>
                <c:pt idx="0">
                  <c:v>3</c:v>
                </c:pt>
                <c:pt idx="1">
                  <c:v>9</c:v>
                </c:pt>
                <c:pt idx="2">
                  <c:v>0</c:v>
                </c:pt>
              </c:numCache>
            </c:numRef>
          </c:val>
        </c:ser>
        <c:ser>
          <c:idx val="1"/>
          <c:order val="1"/>
          <c:tx>
            <c:strRef>
              <c:f>Guesthouses!$J$5</c:f>
              <c:strCache>
                <c:ptCount val="1"/>
                <c:pt idx="0">
                  <c:v>Deny</c:v>
                </c:pt>
              </c:strCache>
            </c:strRef>
          </c:tx>
          <c:invertIfNegative val="0"/>
          <c:dLbls>
            <c:dLblPos val="inEnd"/>
            <c:showLegendKey val="0"/>
            <c:showVal val="1"/>
            <c:showCatName val="0"/>
            <c:showSerName val="0"/>
            <c:showPercent val="0"/>
            <c:showBubbleSize val="0"/>
            <c:showLeaderLines val="0"/>
          </c:dLbls>
          <c:cat>
            <c:strRef>
              <c:f>Guesthouses!$H$6:$H$8</c:f>
              <c:strCache>
                <c:ptCount val="3"/>
                <c:pt idx="0">
                  <c:v>Accept</c:v>
                </c:pt>
                <c:pt idx="1">
                  <c:v>Reject</c:v>
                </c:pt>
                <c:pt idx="2">
                  <c:v>Silent</c:v>
                </c:pt>
              </c:strCache>
            </c:strRef>
          </c:cat>
          <c:val>
            <c:numRef>
              <c:f>Guesthouses!$J$6:$J$8</c:f>
              <c:numCache>
                <c:formatCode>General</c:formatCode>
                <c:ptCount val="3"/>
                <c:pt idx="0">
                  <c:v>12</c:v>
                </c:pt>
                <c:pt idx="1">
                  <c:v>0</c:v>
                </c:pt>
                <c:pt idx="2">
                  <c:v>3</c:v>
                </c:pt>
              </c:numCache>
            </c:numRef>
          </c:val>
        </c:ser>
        <c:dLbls>
          <c:showLegendKey val="0"/>
          <c:showVal val="1"/>
          <c:showCatName val="0"/>
          <c:showSerName val="0"/>
          <c:showPercent val="0"/>
          <c:showBubbleSize val="0"/>
        </c:dLbls>
        <c:gapWidth val="150"/>
        <c:overlap val="100"/>
        <c:axId val="79037184"/>
        <c:axId val="79039104"/>
      </c:barChart>
      <c:catAx>
        <c:axId val="79037184"/>
        <c:scaling>
          <c:orientation val="minMax"/>
        </c:scaling>
        <c:delete val="0"/>
        <c:axPos val="b"/>
        <c:title>
          <c:tx>
            <c:rich>
              <a:bodyPr/>
              <a:lstStyle/>
              <a:p>
                <a:pPr>
                  <a:defRPr/>
                </a:pPr>
                <a:r>
                  <a:rPr lang="en-US"/>
                  <a:t>Courts</a:t>
                </a:r>
                <a:r>
                  <a:rPr lang="en-US" baseline="0"/>
                  <a:t> Reaction to Allegation</a:t>
                </a:r>
                <a:endParaRPr lang="en-US"/>
              </a:p>
            </c:rich>
          </c:tx>
          <c:overlay val="0"/>
        </c:title>
        <c:majorTickMark val="out"/>
        <c:minorTickMark val="none"/>
        <c:tickLblPos val="nextTo"/>
        <c:crossAx val="79039104"/>
        <c:crosses val="autoZero"/>
        <c:auto val="1"/>
        <c:lblAlgn val="ctr"/>
        <c:lblOffset val="100"/>
        <c:noMultiLvlLbl val="0"/>
      </c:catAx>
      <c:valAx>
        <c:axId val="79039104"/>
        <c:scaling>
          <c:orientation val="minMax"/>
        </c:scaling>
        <c:delete val="0"/>
        <c:axPos val="l"/>
        <c:majorGridlines/>
        <c:numFmt formatCode="General" sourceLinked="1"/>
        <c:majorTickMark val="out"/>
        <c:minorTickMark val="none"/>
        <c:tickLblPos val="nextTo"/>
        <c:crossAx val="7903718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Guesthouses</a:t>
            </a:r>
          </a:p>
          <a:p>
            <a:pPr>
              <a:defRPr/>
            </a:pPr>
            <a:r>
              <a:rPr lang="en-US"/>
              <a:t>Pre-</a:t>
            </a:r>
            <a:r>
              <a:rPr lang="en-US" i="1"/>
              <a:t>Adahi</a:t>
            </a:r>
            <a:endParaRPr lang="en-US"/>
          </a:p>
        </c:rich>
      </c:tx>
      <c:overlay val="0"/>
    </c:title>
    <c:autoTitleDeleted val="0"/>
    <c:plotArea>
      <c:layout/>
      <c:pieChart>
        <c:varyColors val="1"/>
        <c:ser>
          <c:idx val="0"/>
          <c:order val="0"/>
          <c:dLbls>
            <c:showLegendKey val="0"/>
            <c:showVal val="1"/>
            <c:showCatName val="0"/>
            <c:showSerName val="0"/>
            <c:showPercent val="1"/>
            <c:showBubbleSize val="0"/>
            <c:separator>
</c:separator>
            <c:showLeaderLines val="1"/>
          </c:dLbls>
          <c:cat>
            <c:strRef>
              <c:f>Guesthouses!$J$13:$J$15</c:f>
              <c:strCache>
                <c:ptCount val="3"/>
                <c:pt idx="0">
                  <c:v>Accept</c:v>
                </c:pt>
                <c:pt idx="1">
                  <c:v>Reject</c:v>
                </c:pt>
                <c:pt idx="2">
                  <c:v>Silent</c:v>
                </c:pt>
              </c:strCache>
            </c:strRef>
          </c:cat>
          <c:val>
            <c:numRef>
              <c:f>Guesthouses!$K$13:$K$15</c:f>
              <c:numCache>
                <c:formatCode>General</c:formatCode>
                <c:ptCount val="3"/>
                <c:pt idx="0">
                  <c:v>10</c:v>
                </c:pt>
                <c:pt idx="1">
                  <c:v>9</c:v>
                </c:pt>
                <c:pt idx="2">
                  <c:v>2</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Guesthouses</a:t>
            </a:r>
          </a:p>
          <a:p>
            <a:pPr>
              <a:defRPr/>
            </a:pPr>
            <a:r>
              <a:rPr lang="en-US"/>
              <a:t>Post-</a:t>
            </a:r>
            <a:r>
              <a:rPr lang="en-US" i="1"/>
              <a:t>Adahi</a:t>
            </a:r>
            <a:endParaRPr lang="en-US"/>
          </a:p>
        </c:rich>
      </c:tx>
      <c:overlay val="0"/>
    </c:title>
    <c:autoTitleDeleted val="0"/>
    <c:plotArea>
      <c:layout/>
      <c:pieChart>
        <c:varyColors val="1"/>
        <c:ser>
          <c:idx val="0"/>
          <c:order val="0"/>
          <c:dLbls>
            <c:showLegendKey val="0"/>
            <c:showVal val="1"/>
            <c:showCatName val="0"/>
            <c:showSerName val="0"/>
            <c:showPercent val="1"/>
            <c:showBubbleSize val="0"/>
            <c:separator>
</c:separator>
            <c:showLeaderLines val="1"/>
          </c:dLbls>
          <c:cat>
            <c:strRef>
              <c:f>Guesthouses!$J$17:$J$19</c:f>
              <c:strCache>
                <c:ptCount val="3"/>
                <c:pt idx="0">
                  <c:v>Accept</c:v>
                </c:pt>
                <c:pt idx="1">
                  <c:v>Reject</c:v>
                </c:pt>
                <c:pt idx="2">
                  <c:v>Silent</c:v>
                </c:pt>
              </c:strCache>
            </c:strRef>
          </c:cat>
          <c:val>
            <c:numRef>
              <c:f>Guesthouses!$K$17:$K$19</c:f>
              <c:numCache>
                <c:formatCode>General</c:formatCode>
                <c:ptCount val="3"/>
                <c:pt idx="0">
                  <c:v>5</c:v>
                </c:pt>
                <c:pt idx="1">
                  <c:v>0</c:v>
                </c:pt>
                <c:pt idx="2">
                  <c:v>1</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A922-B9E4-49FD-9993-4326B79F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LYLE MW'</cp:lastModifiedBy>
  <cp:revision>2</cp:revision>
  <dcterms:created xsi:type="dcterms:W3CDTF">2012-05-09T19:03:00Z</dcterms:created>
  <dcterms:modified xsi:type="dcterms:W3CDTF">2012-05-09T19:03:00Z</dcterms:modified>
</cp:coreProperties>
</file>