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F7" w:rsidRPr="003B23DB" w:rsidRDefault="00095BF7" w:rsidP="00B57FE7">
      <w:pPr>
        <w:jc w:val="center"/>
        <w:rPr>
          <w:rFonts w:ascii="Century" w:hAnsi="Century" w:cs="Century"/>
          <w:b/>
          <w:bCs/>
        </w:rPr>
      </w:pPr>
      <w:r w:rsidRPr="003B23DB">
        <w:rPr>
          <w:rFonts w:ascii="Century" w:hAnsi="Century" w:cs="Century"/>
          <w:b/>
          <w:bCs/>
        </w:rPr>
        <w:t xml:space="preserve">No. </w:t>
      </w:r>
      <w:r>
        <w:rPr>
          <w:rFonts w:ascii="Century" w:hAnsi="Century" w:cs="Century"/>
          <w:b/>
          <w:bCs/>
        </w:rPr>
        <w:t>09-781</w:t>
      </w:r>
    </w:p>
    <w:p w:rsidR="00095BF7" w:rsidRPr="003B23DB" w:rsidRDefault="00095BF7" w:rsidP="00D82B51">
      <w:pPr>
        <w:jc w:val="center"/>
        <w:rPr>
          <w:rFonts w:ascii="Century" w:hAnsi="Century" w:cs="Century"/>
          <w:b/>
          <w:bCs/>
        </w:rPr>
      </w:pPr>
    </w:p>
    <w:p w:rsidR="00095BF7" w:rsidRPr="003B23DB" w:rsidRDefault="00095BF7" w:rsidP="00D82B51">
      <w:pPr>
        <w:tabs>
          <w:tab w:val="right" w:pos="9360"/>
        </w:tabs>
        <w:spacing w:after="360"/>
        <w:rPr>
          <w:rFonts w:ascii="Century" w:hAnsi="Century" w:cs="Century"/>
          <w:b/>
          <w:bCs/>
          <w:u w:val="double"/>
        </w:rPr>
      </w:pPr>
      <w:r w:rsidRPr="003B23DB">
        <w:rPr>
          <w:rFonts w:ascii="Century" w:hAnsi="Century" w:cs="Century"/>
          <w:b/>
          <w:bCs/>
          <w:u w:val="double"/>
        </w:rPr>
        <w:tab/>
      </w:r>
    </w:p>
    <w:p w:rsidR="00095BF7" w:rsidRPr="003B23DB" w:rsidRDefault="00095BF7" w:rsidP="00D82B51">
      <w:pPr>
        <w:jc w:val="center"/>
        <w:rPr>
          <w:rFonts w:ascii="Century" w:hAnsi="Century" w:cs="Century"/>
          <w:b/>
          <w:bCs/>
          <w:smallCaps/>
        </w:rPr>
      </w:pPr>
      <w:r w:rsidRPr="003B23DB">
        <w:rPr>
          <w:rFonts w:ascii="Century" w:hAnsi="Century" w:cs="Century"/>
          <w:b/>
          <w:bCs/>
          <w:smallCaps/>
        </w:rPr>
        <w:t>In The</w:t>
      </w:r>
    </w:p>
    <w:p w:rsidR="00095BF7" w:rsidRPr="003B23DB" w:rsidRDefault="00095BF7" w:rsidP="00D82B51">
      <w:pPr>
        <w:jc w:val="center"/>
        <w:rPr>
          <w:rFonts w:ascii="Century" w:hAnsi="Century" w:cs="Century"/>
          <w:b/>
          <w:bCs/>
          <w:smallCaps/>
        </w:rPr>
      </w:pPr>
      <w:r w:rsidRPr="003B23DB">
        <w:rPr>
          <w:rFonts w:ascii="Century" w:hAnsi="Century" w:cs="Century"/>
          <w:b/>
          <w:bCs/>
          <w:smallCaps/>
        </w:rPr>
        <w:t>Supreme Court of the United States</w:t>
      </w:r>
    </w:p>
    <w:p w:rsidR="00095BF7" w:rsidRPr="003B23DB" w:rsidRDefault="00095BF7" w:rsidP="00D82B51">
      <w:pPr>
        <w:jc w:val="center"/>
        <w:rPr>
          <w:rFonts w:ascii="Century" w:hAnsi="Century" w:cs="Century"/>
          <w:b/>
          <w:bCs/>
          <w:smallCaps/>
        </w:rPr>
      </w:pPr>
    </w:p>
    <w:p w:rsidR="00095BF7" w:rsidRPr="003B23DB" w:rsidRDefault="00095BF7" w:rsidP="00D82B51">
      <w:pPr>
        <w:jc w:val="center"/>
        <w:rPr>
          <w:rFonts w:ascii="Century" w:hAnsi="Century" w:cs="Century"/>
          <w:b/>
          <w:bCs/>
        </w:rPr>
      </w:pPr>
      <w:r w:rsidRPr="003B23DB">
        <w:rPr>
          <w:rFonts w:ascii="Century" w:hAnsi="Century" w:cs="Century"/>
          <w:b/>
          <w:bCs/>
        </w:rPr>
        <w:t>___________________________________________________________</w:t>
      </w:r>
    </w:p>
    <w:p w:rsidR="00095BF7" w:rsidRPr="003B23DB" w:rsidRDefault="00095BF7" w:rsidP="00D82B51">
      <w:pPr>
        <w:jc w:val="center"/>
        <w:rPr>
          <w:rFonts w:ascii="Century" w:hAnsi="Century" w:cs="Century"/>
        </w:rPr>
      </w:pPr>
    </w:p>
    <w:p w:rsidR="00095BF7" w:rsidRPr="003B23DB" w:rsidRDefault="00095BF7" w:rsidP="00D82B51">
      <w:pPr>
        <w:jc w:val="center"/>
        <w:rPr>
          <w:rFonts w:ascii="Century" w:hAnsi="Century" w:cs="Century"/>
        </w:rPr>
      </w:pPr>
      <w:r w:rsidRPr="003B23DB">
        <w:rPr>
          <w:rFonts w:ascii="Century" w:hAnsi="Century" w:cs="Century"/>
        </w:rPr>
        <w:t>STATE OF MINNESOTA,</w:t>
      </w:r>
    </w:p>
    <w:p w:rsidR="00095BF7" w:rsidRPr="003B23DB" w:rsidRDefault="00095BF7" w:rsidP="00D82B51">
      <w:pPr>
        <w:jc w:val="center"/>
        <w:rPr>
          <w:rFonts w:ascii="Century" w:hAnsi="Century" w:cs="Century"/>
        </w:rPr>
      </w:pPr>
    </w:p>
    <w:p w:rsidR="00095BF7" w:rsidRPr="003B23DB" w:rsidRDefault="00095BF7" w:rsidP="00D82B51">
      <w:pPr>
        <w:tabs>
          <w:tab w:val="left" w:pos="5760"/>
        </w:tabs>
        <w:rPr>
          <w:rFonts w:ascii="Century" w:hAnsi="Century" w:cs="Century"/>
        </w:rPr>
      </w:pPr>
      <w:r w:rsidRPr="003B23DB">
        <w:rPr>
          <w:rFonts w:ascii="Century" w:hAnsi="Century" w:cs="Century"/>
        </w:rPr>
        <w:tab/>
      </w:r>
      <w:r w:rsidRPr="003B23DB">
        <w:rPr>
          <w:rFonts w:ascii="Century" w:hAnsi="Century" w:cs="Century"/>
          <w:i/>
          <w:iCs/>
        </w:rPr>
        <w:t>Petitioner</w:t>
      </w:r>
      <w:r w:rsidRPr="003B23DB">
        <w:rPr>
          <w:rFonts w:ascii="Century" w:hAnsi="Century" w:cs="Century"/>
        </w:rPr>
        <w:t>,</w:t>
      </w:r>
    </w:p>
    <w:p w:rsidR="00095BF7" w:rsidRPr="003B23DB" w:rsidRDefault="00095BF7" w:rsidP="00D82B51">
      <w:pPr>
        <w:jc w:val="center"/>
        <w:rPr>
          <w:rFonts w:ascii="Century" w:hAnsi="Century" w:cs="Century"/>
        </w:rPr>
      </w:pPr>
    </w:p>
    <w:p w:rsidR="00095BF7" w:rsidRPr="003B23DB" w:rsidRDefault="00095BF7" w:rsidP="00D82B51">
      <w:pPr>
        <w:jc w:val="center"/>
        <w:rPr>
          <w:rFonts w:ascii="Century" w:hAnsi="Century" w:cs="Century"/>
        </w:rPr>
      </w:pPr>
      <w:r w:rsidRPr="003B23DB">
        <w:rPr>
          <w:rFonts w:ascii="Century" w:hAnsi="Century" w:cs="Century"/>
        </w:rPr>
        <w:t>v.</w:t>
      </w:r>
    </w:p>
    <w:p w:rsidR="00095BF7" w:rsidRPr="003B23DB" w:rsidRDefault="00095BF7" w:rsidP="00D82B51">
      <w:pPr>
        <w:jc w:val="center"/>
        <w:rPr>
          <w:rFonts w:ascii="Century" w:hAnsi="Century" w:cs="Century"/>
        </w:rPr>
      </w:pPr>
    </w:p>
    <w:p w:rsidR="00095BF7" w:rsidRPr="003B23DB" w:rsidRDefault="00095BF7" w:rsidP="00FE7992">
      <w:pPr>
        <w:jc w:val="center"/>
        <w:rPr>
          <w:rFonts w:ascii="Century" w:hAnsi="Century" w:cs="Century"/>
        </w:rPr>
      </w:pPr>
      <w:r w:rsidRPr="003B23DB">
        <w:rPr>
          <w:rFonts w:ascii="Century" w:hAnsi="Century" w:cs="Century"/>
        </w:rPr>
        <w:t>DANON JASON RUSSELL,</w:t>
      </w:r>
    </w:p>
    <w:p w:rsidR="00095BF7" w:rsidRPr="003B23DB" w:rsidRDefault="00095BF7" w:rsidP="00D82B51">
      <w:pPr>
        <w:tabs>
          <w:tab w:val="right" w:pos="9360"/>
        </w:tabs>
        <w:ind w:right="972"/>
        <w:jc w:val="center"/>
        <w:rPr>
          <w:rFonts w:ascii="Century" w:hAnsi="Century" w:cs="Century"/>
        </w:rPr>
      </w:pPr>
    </w:p>
    <w:p w:rsidR="00095BF7" w:rsidRPr="003B23DB" w:rsidRDefault="00095BF7" w:rsidP="00D82B51">
      <w:pPr>
        <w:tabs>
          <w:tab w:val="left" w:pos="5760"/>
        </w:tabs>
        <w:rPr>
          <w:rFonts w:ascii="Century" w:hAnsi="Century" w:cs="Century"/>
        </w:rPr>
      </w:pPr>
      <w:r w:rsidRPr="003B23DB">
        <w:rPr>
          <w:rFonts w:ascii="Century" w:hAnsi="Century" w:cs="Century"/>
          <w:i/>
          <w:iCs/>
        </w:rPr>
        <w:tab/>
        <w:t>Respondent</w:t>
      </w:r>
      <w:r w:rsidRPr="003B23DB">
        <w:rPr>
          <w:rFonts w:ascii="Century" w:hAnsi="Century" w:cs="Century"/>
        </w:rPr>
        <w:t>.</w:t>
      </w:r>
    </w:p>
    <w:p w:rsidR="00095BF7" w:rsidRPr="003B23DB" w:rsidRDefault="00095BF7" w:rsidP="00D82B51">
      <w:pPr>
        <w:spacing w:after="120"/>
        <w:jc w:val="center"/>
        <w:rPr>
          <w:rFonts w:ascii="Century" w:hAnsi="Century" w:cs="Century"/>
          <w:b/>
          <w:bCs/>
        </w:rPr>
      </w:pPr>
      <w:r w:rsidRPr="003B23DB">
        <w:rPr>
          <w:rFonts w:ascii="Century" w:hAnsi="Century" w:cs="Century"/>
          <w:b/>
          <w:bCs/>
        </w:rPr>
        <w:t>___________________________________________________________</w:t>
      </w:r>
    </w:p>
    <w:p w:rsidR="00095BF7" w:rsidRPr="003B23DB" w:rsidRDefault="00095BF7" w:rsidP="00D82B51">
      <w:pPr>
        <w:jc w:val="center"/>
        <w:rPr>
          <w:rFonts w:ascii="Century" w:hAnsi="Century" w:cs="Century"/>
          <w:b/>
          <w:bCs/>
        </w:rPr>
      </w:pPr>
      <w:r w:rsidRPr="003B23DB">
        <w:rPr>
          <w:rFonts w:ascii="Century" w:hAnsi="Century" w:cs="Century"/>
          <w:b/>
          <w:bCs/>
        </w:rPr>
        <w:t>On Petition For Writ Of Certiorari</w:t>
      </w:r>
    </w:p>
    <w:p w:rsidR="00095BF7" w:rsidRPr="003B23DB" w:rsidRDefault="00095BF7" w:rsidP="00D82B51">
      <w:pPr>
        <w:jc w:val="center"/>
        <w:rPr>
          <w:rFonts w:ascii="Century" w:hAnsi="Century" w:cs="Century"/>
          <w:b/>
          <w:bCs/>
        </w:rPr>
      </w:pPr>
      <w:r w:rsidRPr="003B23DB">
        <w:rPr>
          <w:rFonts w:ascii="Century" w:hAnsi="Century" w:cs="Century"/>
          <w:b/>
          <w:bCs/>
        </w:rPr>
        <w:t>To The Court Of Appeals Of Minnesota</w:t>
      </w:r>
    </w:p>
    <w:p w:rsidR="00095BF7" w:rsidRPr="003B23DB" w:rsidRDefault="00095BF7" w:rsidP="00D82B51">
      <w:pPr>
        <w:spacing w:after="120"/>
        <w:jc w:val="center"/>
        <w:rPr>
          <w:rFonts w:ascii="Century" w:hAnsi="Century" w:cs="Century"/>
          <w:b/>
          <w:bCs/>
        </w:rPr>
      </w:pPr>
      <w:r w:rsidRPr="003B23DB">
        <w:rPr>
          <w:rFonts w:ascii="Century" w:hAnsi="Century" w:cs="Century"/>
          <w:b/>
          <w:bCs/>
        </w:rPr>
        <w:t>___________________________________________________________</w:t>
      </w:r>
    </w:p>
    <w:p w:rsidR="00095BF7" w:rsidRPr="003B23DB" w:rsidRDefault="00095BF7" w:rsidP="00B57FE7">
      <w:pPr>
        <w:jc w:val="center"/>
        <w:rPr>
          <w:rFonts w:ascii="Century" w:hAnsi="Century" w:cs="Century"/>
          <w:b/>
          <w:bCs/>
          <w:smallCaps/>
        </w:rPr>
      </w:pPr>
      <w:r>
        <w:rPr>
          <w:rFonts w:ascii="Century" w:hAnsi="Century" w:cs="Century"/>
          <w:b/>
          <w:bCs/>
          <w:smallCaps/>
        </w:rPr>
        <w:t>Reply To Brief In Opposition</w:t>
      </w:r>
    </w:p>
    <w:p w:rsidR="00095BF7" w:rsidRPr="003B23DB" w:rsidRDefault="00095BF7" w:rsidP="00B57FE7">
      <w:pPr>
        <w:spacing w:after="120"/>
        <w:jc w:val="center"/>
        <w:rPr>
          <w:rFonts w:ascii="Century" w:hAnsi="Century" w:cs="Century"/>
          <w:b/>
          <w:bCs/>
        </w:rPr>
      </w:pPr>
      <w:r w:rsidRPr="003B23DB">
        <w:rPr>
          <w:rFonts w:ascii="Century" w:hAnsi="Century" w:cs="Century"/>
          <w:b/>
          <w:bCs/>
        </w:rPr>
        <w:t>___________________________________________________________</w:t>
      </w:r>
    </w:p>
    <w:p w:rsidR="00095BF7" w:rsidRPr="003B23DB" w:rsidRDefault="00095BF7" w:rsidP="00D82B51">
      <w:pPr>
        <w:jc w:val="center"/>
        <w:rPr>
          <w:rFonts w:ascii="Century" w:hAnsi="Century" w:cs="Century"/>
          <w:smallCaps/>
        </w:rPr>
      </w:pPr>
    </w:p>
    <w:p w:rsidR="00095BF7" w:rsidRPr="003B23DB" w:rsidRDefault="00095BF7" w:rsidP="00D82B51">
      <w:pPr>
        <w:jc w:val="center"/>
        <w:rPr>
          <w:rFonts w:ascii="Century" w:hAnsi="Century" w:cs="Century"/>
          <w:smallCaps/>
        </w:rPr>
      </w:pPr>
      <w:r w:rsidRPr="003B23DB">
        <w:rPr>
          <w:rFonts w:ascii="Century" w:hAnsi="Century" w:cs="Century"/>
          <w:smallCaps/>
        </w:rPr>
        <w:t>Lori Swanson</w:t>
      </w:r>
    </w:p>
    <w:p w:rsidR="00095BF7" w:rsidRPr="003B23DB" w:rsidRDefault="00095BF7" w:rsidP="00FE7992">
      <w:pPr>
        <w:jc w:val="center"/>
        <w:rPr>
          <w:rFonts w:ascii="Century" w:hAnsi="Century" w:cs="Century"/>
        </w:rPr>
      </w:pPr>
      <w:r w:rsidRPr="003B23DB">
        <w:rPr>
          <w:rFonts w:ascii="Century" w:hAnsi="Century" w:cs="Century"/>
        </w:rPr>
        <w:t>Minnesota Attorney General</w:t>
      </w:r>
    </w:p>
    <w:p w:rsidR="00095BF7" w:rsidRPr="003B23DB" w:rsidRDefault="00095BF7" w:rsidP="00D82B51">
      <w:pPr>
        <w:jc w:val="center"/>
        <w:rPr>
          <w:rFonts w:ascii="Century" w:hAnsi="Century" w:cs="Century"/>
          <w:smallCaps/>
        </w:rPr>
      </w:pPr>
    </w:p>
    <w:p w:rsidR="00095BF7" w:rsidRPr="003B23DB" w:rsidRDefault="00095BF7" w:rsidP="00FE7992">
      <w:pPr>
        <w:jc w:val="center"/>
        <w:rPr>
          <w:rFonts w:ascii="Century" w:hAnsi="Century" w:cs="Century"/>
          <w:smallCaps/>
        </w:rPr>
      </w:pPr>
      <w:r w:rsidRPr="003B23DB">
        <w:rPr>
          <w:rFonts w:ascii="Century" w:hAnsi="Century" w:cs="Century"/>
          <w:smallCaps/>
        </w:rPr>
        <w:t>Susan Gaertner</w:t>
      </w:r>
    </w:p>
    <w:p w:rsidR="00095BF7" w:rsidRPr="003B23DB" w:rsidRDefault="00095BF7" w:rsidP="00FE7992">
      <w:pPr>
        <w:jc w:val="center"/>
        <w:rPr>
          <w:rFonts w:ascii="Century" w:hAnsi="Century" w:cs="Century"/>
        </w:rPr>
      </w:pPr>
      <w:r w:rsidRPr="003B23DB">
        <w:rPr>
          <w:rFonts w:ascii="Century" w:hAnsi="Century" w:cs="Century"/>
        </w:rPr>
        <w:t>Ramsey County Attorney</w:t>
      </w:r>
    </w:p>
    <w:p w:rsidR="00095BF7" w:rsidRPr="003B23DB" w:rsidRDefault="00095BF7" w:rsidP="00FE7992">
      <w:pPr>
        <w:jc w:val="center"/>
        <w:rPr>
          <w:rFonts w:ascii="Century" w:hAnsi="Century" w:cs="Century"/>
        </w:rPr>
      </w:pPr>
    </w:p>
    <w:p w:rsidR="00095BF7" w:rsidRPr="003B23DB" w:rsidRDefault="00095BF7" w:rsidP="00FE7992">
      <w:pPr>
        <w:jc w:val="center"/>
        <w:rPr>
          <w:rFonts w:ascii="Century" w:hAnsi="Century" w:cs="Century"/>
          <w:smallCaps/>
        </w:rPr>
      </w:pPr>
      <w:r w:rsidRPr="003B23DB">
        <w:rPr>
          <w:rFonts w:ascii="Century" w:hAnsi="Century" w:cs="Century"/>
          <w:smallCaps/>
        </w:rPr>
        <w:t>By:  Thomas R. Ragatz</w:t>
      </w:r>
    </w:p>
    <w:p w:rsidR="00095BF7" w:rsidRPr="003B23DB" w:rsidRDefault="00095BF7" w:rsidP="00FE7992">
      <w:pPr>
        <w:jc w:val="center"/>
        <w:rPr>
          <w:rFonts w:ascii="Century" w:hAnsi="Century" w:cs="Century"/>
        </w:rPr>
      </w:pPr>
      <w:r w:rsidRPr="003B23DB">
        <w:rPr>
          <w:rFonts w:ascii="Century" w:hAnsi="Century" w:cs="Century"/>
        </w:rPr>
        <w:t>Assistant Ramsey County Attorney</w:t>
      </w:r>
    </w:p>
    <w:p w:rsidR="00095BF7" w:rsidRPr="003B23DB" w:rsidRDefault="00095BF7" w:rsidP="00FE7992">
      <w:pPr>
        <w:jc w:val="center"/>
        <w:rPr>
          <w:rFonts w:ascii="Century" w:hAnsi="Century" w:cs="Century"/>
        </w:rPr>
      </w:pPr>
      <w:r w:rsidRPr="003B23DB">
        <w:rPr>
          <w:rFonts w:ascii="Century" w:hAnsi="Century" w:cs="Century"/>
        </w:rPr>
        <w:t>License No. 0236822</w:t>
      </w:r>
    </w:p>
    <w:p w:rsidR="00095BF7" w:rsidRPr="003B23DB" w:rsidRDefault="00095BF7" w:rsidP="00FE7992">
      <w:pPr>
        <w:jc w:val="center"/>
        <w:rPr>
          <w:rFonts w:ascii="Century" w:hAnsi="Century" w:cs="Century"/>
        </w:rPr>
      </w:pPr>
    </w:p>
    <w:p w:rsidR="00095BF7" w:rsidRPr="003B23DB" w:rsidRDefault="00095BF7" w:rsidP="00FE7992">
      <w:pPr>
        <w:jc w:val="center"/>
        <w:rPr>
          <w:rFonts w:ascii="Century" w:hAnsi="Century" w:cs="Century"/>
        </w:rPr>
      </w:pPr>
      <w:r w:rsidRPr="003B23DB">
        <w:rPr>
          <w:rFonts w:ascii="Century" w:hAnsi="Century" w:cs="Century"/>
        </w:rPr>
        <w:t>50 Kellogg Boulevard West, Suite 315</w:t>
      </w:r>
    </w:p>
    <w:p w:rsidR="00095BF7" w:rsidRPr="003B23DB" w:rsidRDefault="00095BF7" w:rsidP="00FE7992">
      <w:pPr>
        <w:jc w:val="center"/>
        <w:rPr>
          <w:rFonts w:ascii="Century" w:hAnsi="Century" w:cs="Century"/>
        </w:rPr>
      </w:pPr>
      <w:r w:rsidRPr="003B23DB">
        <w:rPr>
          <w:rFonts w:ascii="Century" w:hAnsi="Century" w:cs="Century"/>
        </w:rPr>
        <w:t>St. Paul, Minnesota  55102</w:t>
      </w:r>
    </w:p>
    <w:p w:rsidR="00095BF7" w:rsidRPr="003B23DB" w:rsidRDefault="00095BF7" w:rsidP="00FE7992">
      <w:pPr>
        <w:jc w:val="center"/>
        <w:rPr>
          <w:rFonts w:ascii="Century" w:hAnsi="Century" w:cs="Century"/>
        </w:rPr>
      </w:pPr>
      <w:r w:rsidRPr="003B23DB">
        <w:rPr>
          <w:rFonts w:ascii="Century" w:hAnsi="Century" w:cs="Century"/>
        </w:rPr>
        <w:t>Telephone:  (651) 266-3156</w:t>
      </w:r>
    </w:p>
    <w:p w:rsidR="00095BF7" w:rsidRPr="003B23DB" w:rsidRDefault="00095BF7" w:rsidP="00D82B51">
      <w:pPr>
        <w:jc w:val="center"/>
        <w:rPr>
          <w:rFonts w:ascii="Century" w:hAnsi="Century" w:cs="Century"/>
          <w:smallCaps/>
        </w:rPr>
      </w:pPr>
    </w:p>
    <w:p w:rsidR="00095BF7" w:rsidRPr="003B23DB" w:rsidRDefault="00095BF7" w:rsidP="00FE7992">
      <w:pPr>
        <w:tabs>
          <w:tab w:val="left" w:pos="5760"/>
        </w:tabs>
        <w:jc w:val="center"/>
        <w:rPr>
          <w:rFonts w:ascii="Century" w:hAnsi="Century" w:cs="Century"/>
          <w:i/>
          <w:iCs/>
        </w:rPr>
      </w:pPr>
      <w:r w:rsidRPr="003B23DB">
        <w:rPr>
          <w:rFonts w:ascii="Century" w:hAnsi="Century" w:cs="Century"/>
          <w:i/>
          <w:iCs/>
        </w:rPr>
        <w:t>Attorneys for Petitioner</w:t>
      </w:r>
    </w:p>
    <w:p w:rsidR="00095BF7" w:rsidRPr="003B23DB" w:rsidRDefault="00095BF7" w:rsidP="00D82B51">
      <w:pPr>
        <w:pBdr>
          <w:bottom w:val="double" w:sz="6" w:space="1" w:color="auto"/>
        </w:pBdr>
        <w:spacing w:after="360"/>
        <w:rPr>
          <w:rFonts w:ascii="Century" w:hAnsi="Century" w:cs="Century"/>
          <w:u w:val="double"/>
        </w:rPr>
      </w:pPr>
    </w:p>
    <w:p w:rsidR="00095BF7" w:rsidRPr="003B23DB" w:rsidRDefault="00095BF7" w:rsidP="0093500B">
      <w:pPr>
        <w:spacing w:after="240"/>
        <w:jc w:val="center"/>
        <w:rPr>
          <w:rFonts w:ascii="Century" w:hAnsi="Century" w:cs="Century"/>
          <w:b/>
          <w:bCs/>
        </w:rPr>
        <w:sectPr w:rsidR="00095BF7" w:rsidRPr="003B23DB" w:rsidSect="00D82B51">
          <w:headerReference w:type="default" r:id="rId6"/>
          <w:pgSz w:w="12240" w:h="15840" w:code="1"/>
          <w:pgMar w:top="1440" w:right="1440" w:bottom="1440" w:left="1440" w:header="1440" w:footer="1440" w:gutter="0"/>
          <w:paperSrc w:first="261" w:other="261"/>
          <w:pgNumType w:fmt="lowerRoman"/>
          <w:cols w:space="720"/>
          <w:titlePg/>
          <w:docGrid w:linePitch="326"/>
        </w:sectPr>
      </w:pPr>
    </w:p>
    <w:p w:rsidR="00095BF7" w:rsidRDefault="00095BF7" w:rsidP="00541622">
      <w:pPr>
        <w:spacing w:after="480"/>
        <w:ind w:firstLine="720"/>
        <w:jc w:val="both"/>
        <w:rPr>
          <w:rFonts w:ascii="Century" w:hAnsi="Century" w:cs="Century"/>
        </w:rPr>
      </w:pPr>
      <w:r>
        <w:rPr>
          <w:rFonts w:ascii="Century" w:hAnsi="Century" w:cs="Century"/>
        </w:rPr>
        <w:t xml:space="preserve">Respondent acknowledges the “split of authority on the application of </w:t>
      </w:r>
      <w:r>
        <w:rPr>
          <w:rFonts w:ascii="Century" w:hAnsi="Century" w:cs="Century"/>
          <w:i/>
          <w:iCs/>
        </w:rPr>
        <w:t>Lopez-Mendoza</w:t>
      </w:r>
      <w:r>
        <w:rPr>
          <w:rFonts w:ascii="Century" w:hAnsi="Century" w:cs="Century"/>
        </w:rPr>
        <w:t xml:space="preserve">.”  Brief in Opposition (“BIO”) 1.  He nonetheless argues at length that the Minnesota Court of Appeals correctly concluded that </w:t>
      </w:r>
      <w:r w:rsidRPr="005E2B3B">
        <w:rPr>
          <w:rFonts w:ascii="Century" w:hAnsi="Century" w:cs="Century"/>
          <w:i/>
          <w:iCs/>
        </w:rPr>
        <w:t>I.N.S.</w:t>
      </w:r>
      <w:r>
        <w:rPr>
          <w:rFonts w:ascii="Century" w:hAnsi="Century" w:cs="Century"/>
          <w:i/>
          <w:iCs/>
        </w:rPr>
        <w:t> v. Lopez-Mendoza</w:t>
      </w:r>
      <w:r>
        <w:rPr>
          <w:rFonts w:ascii="Century" w:hAnsi="Century" w:cs="Century"/>
        </w:rPr>
        <w:t>, 468 U.S. 1032 (1984), does not preclude suppression of illegally-obtained knowledge of identity.  BIO 6-10.   But this argument is not relevant to his meritless assertion that “this case is not a proper or effective vehicle for addressing” the split among the federal circuits.  BIO 1.</w:t>
      </w:r>
    </w:p>
    <w:p w:rsidR="00095BF7" w:rsidRPr="00796F08" w:rsidRDefault="00095BF7" w:rsidP="00796F08">
      <w:pPr>
        <w:spacing w:after="480"/>
        <w:ind w:firstLine="720"/>
        <w:jc w:val="both"/>
        <w:rPr>
          <w:rFonts w:ascii="Century" w:hAnsi="Century" w:cs="Century"/>
        </w:rPr>
      </w:pPr>
      <w:r>
        <w:rPr>
          <w:rFonts w:ascii="Century" w:hAnsi="Century" w:cs="Century"/>
        </w:rPr>
        <w:t xml:space="preserve">Respondent makes two claims why this case is not appropriate for resolving the “meaning of the </w:t>
      </w:r>
      <w:r>
        <w:rPr>
          <w:rFonts w:ascii="Century" w:hAnsi="Century" w:cs="Century"/>
          <w:i/>
          <w:iCs/>
        </w:rPr>
        <w:t xml:space="preserve">Lopez-Mendoza </w:t>
      </w:r>
      <w:r>
        <w:rPr>
          <w:rFonts w:ascii="Century" w:hAnsi="Century" w:cs="Century"/>
        </w:rPr>
        <w:t>‘identity statement’ [that] has bedeviled and divided” the circuits.</w:t>
      </w:r>
      <w:r>
        <w:rPr>
          <w:rStyle w:val="FootnoteReference"/>
          <w:rFonts w:ascii="Century" w:hAnsi="Century" w:cs="Century"/>
        </w:rPr>
        <w:footnoteReference w:id="2"/>
      </w:r>
      <w:r>
        <w:rPr>
          <w:rFonts w:ascii="Century" w:hAnsi="Century" w:cs="Century"/>
        </w:rPr>
        <w:t xml:space="preserve">  First, respondent argues that the court of appeals’ decision is grounded on independent state law.  BIO 2</w:t>
      </w:r>
      <w:r>
        <w:rPr>
          <w:rFonts w:ascii="Century" w:hAnsi="Century" w:cs="Century"/>
        </w:rPr>
        <w:noBreakHyphen/>
        <w:t>4.  He is wrong.  The court of appeals cited state law to support its finding that the seizure here was illegal, and for the general proposition that illegally obtained evidence should be suppressed.  Appendix to Petition for Writ of Certiorari (“App”) 5</w:t>
      </w:r>
      <w:r>
        <w:rPr>
          <w:rFonts w:ascii="Century" w:hAnsi="Century" w:cs="Century"/>
        </w:rPr>
        <w:noBreakHyphen/>
        <w:t xml:space="preserve">8.  But petitioner neither seeks review of the finding that the seizure was illegal, nor challenges the general proposition that the exclusionary rule applies to illegally obtained evidence.  Petitioner’s argument is that under </w:t>
      </w:r>
      <w:r>
        <w:rPr>
          <w:rFonts w:ascii="Century" w:hAnsi="Century" w:cs="Century"/>
          <w:i/>
          <w:iCs/>
        </w:rPr>
        <w:t>Lopez-Mendoza</w:t>
      </w:r>
      <w:r>
        <w:rPr>
          <w:rFonts w:ascii="Century" w:hAnsi="Century" w:cs="Century"/>
        </w:rPr>
        <w:t>, knowledge of identity is not suppressible “evidence.”  On this issue, the court of appeals relied solely on federal law.  App 9</w:t>
      </w:r>
      <w:r>
        <w:rPr>
          <w:rFonts w:ascii="Century" w:hAnsi="Century" w:cs="Century"/>
        </w:rPr>
        <w:noBreakHyphen/>
        <w:t xml:space="preserve">11.  Importantly, the court did not cite any state law purportedly trumping </w:t>
      </w:r>
      <w:r>
        <w:rPr>
          <w:rFonts w:ascii="Century" w:hAnsi="Century" w:cs="Century"/>
          <w:i/>
          <w:iCs/>
        </w:rPr>
        <w:t>Lopez-Mendoza</w:t>
      </w:r>
      <w:r>
        <w:rPr>
          <w:rFonts w:ascii="Century" w:hAnsi="Century" w:cs="Century"/>
        </w:rPr>
        <w:t xml:space="preserve">; it simply concluded that the proper reading of </w:t>
      </w:r>
      <w:r>
        <w:rPr>
          <w:rFonts w:ascii="Century" w:hAnsi="Century" w:cs="Century"/>
          <w:i/>
          <w:iCs/>
        </w:rPr>
        <w:t xml:space="preserve">Lopez-Mendoza </w:t>
      </w:r>
      <w:r>
        <w:rPr>
          <w:rFonts w:ascii="Century" w:hAnsi="Century" w:cs="Century"/>
        </w:rPr>
        <w:t>is that “illegal police activity does not affect the court’s jurisdiction” but knowledge of identity nevertheless is subject to suppression.  App 10</w:t>
      </w:r>
      <w:r>
        <w:rPr>
          <w:rFonts w:ascii="Century" w:hAnsi="Century" w:cs="Century"/>
        </w:rPr>
        <w:noBreakHyphen/>
        <w:t>11.</w:t>
      </w:r>
      <w:r>
        <w:rPr>
          <w:rStyle w:val="FootnoteReference"/>
          <w:rFonts w:ascii="Century" w:hAnsi="Century" w:cs="Century"/>
        </w:rPr>
        <w:footnoteReference w:id="3"/>
      </w:r>
    </w:p>
    <w:p w:rsidR="00095BF7" w:rsidRDefault="00095BF7" w:rsidP="00221B6B">
      <w:pPr>
        <w:spacing w:after="480"/>
        <w:ind w:firstLine="720"/>
        <w:jc w:val="both"/>
        <w:rPr>
          <w:rFonts w:ascii="Century" w:hAnsi="Century" w:cs="Century"/>
        </w:rPr>
      </w:pPr>
      <w:r>
        <w:rPr>
          <w:rFonts w:ascii="Century" w:hAnsi="Century" w:cs="Century"/>
        </w:rPr>
        <w:t xml:space="preserve">Respondent’s second argument is not clear.  He asserts that petitioner is asking this Court to act as an error-correcting court.  Respondent is correct, in the sense that petitioner is asking this Court to correct the court of appeals’ erroneous reading of </w:t>
      </w:r>
      <w:r>
        <w:rPr>
          <w:rFonts w:ascii="Century" w:hAnsi="Century" w:cs="Century"/>
          <w:i/>
          <w:iCs/>
        </w:rPr>
        <w:t>Lopez-Mendoza</w:t>
      </w:r>
      <w:r>
        <w:rPr>
          <w:rFonts w:ascii="Century" w:hAnsi="Century" w:cs="Century"/>
        </w:rPr>
        <w:t xml:space="preserve">, and thereby resolve the circuit split over that case’s “identity statement.”  Petitioner is not, however, asking this Court to correct a factual or state-law error on probable cause.  BIO 4-5.  As noted in the cert petition, whether there was probable cause for the search warrant is an issue the court of appeals did not reach – and on which remand would be appropriate – because of its conclusion that knowledge of identity should have been suppressed, which would have rendered the warrant targetless and therefore invalid.  App 11.  While it is possible, though unlikely, that respondent will prevail on the probable-cause issue if this case is remanded, that does not make this case an inappropriate vehicle for resolving the meaning of the </w:t>
      </w:r>
      <w:r>
        <w:rPr>
          <w:rFonts w:ascii="Century" w:hAnsi="Century" w:cs="Century"/>
          <w:i/>
          <w:iCs/>
        </w:rPr>
        <w:t>Lopez-Mendoza</w:t>
      </w:r>
      <w:r>
        <w:rPr>
          <w:rFonts w:ascii="Century" w:hAnsi="Century" w:cs="Century"/>
        </w:rPr>
        <w:t xml:space="preserve"> “identity statement.”</w:t>
      </w:r>
      <w:r>
        <w:rPr>
          <w:rStyle w:val="FootnoteReference"/>
          <w:rFonts w:ascii="Century" w:hAnsi="Century" w:cs="Century"/>
        </w:rPr>
        <w:footnoteReference w:id="4"/>
      </w:r>
    </w:p>
    <w:p w:rsidR="00095BF7" w:rsidRPr="00063550" w:rsidRDefault="00095BF7" w:rsidP="00050624">
      <w:pPr>
        <w:jc w:val="both"/>
        <w:rPr>
          <w:rFonts w:ascii="Century" w:hAnsi="Century" w:cs="Century"/>
        </w:rPr>
      </w:pPr>
      <w:r>
        <w:rPr>
          <w:rFonts w:ascii="Century" w:hAnsi="Century" w:cs="Century"/>
        </w:rPr>
        <w:tab/>
        <w:t xml:space="preserve">Finally, a brief comment on the merits: respondent essentially argues this Court did not really mean what it said in </w:t>
      </w:r>
      <w:r>
        <w:rPr>
          <w:rFonts w:ascii="Century" w:hAnsi="Century" w:cs="Century"/>
          <w:i/>
          <w:iCs/>
        </w:rPr>
        <w:t>Lopez-Mendoza</w:t>
      </w:r>
      <w:r>
        <w:rPr>
          <w:rFonts w:ascii="Century" w:hAnsi="Century" w:cs="Century"/>
        </w:rPr>
        <w:t xml:space="preserve"> – </w:t>
      </w:r>
      <w:r w:rsidRPr="00DD2259">
        <w:rPr>
          <w:rFonts w:ascii="Century" w:hAnsi="Century" w:cs="Century"/>
        </w:rPr>
        <w:t xml:space="preserve">that the “identity of a defendant … in a criminal … proceeding is never itself suppressible as a fruit of an unlawful arrest . . ..”  468 U.S. at 1039.  </w:t>
      </w:r>
      <w:r>
        <w:rPr>
          <w:rFonts w:ascii="Century" w:hAnsi="Century" w:cs="Century"/>
        </w:rPr>
        <w:t xml:space="preserve">  While some courts have agreed with respondent’s argument, many have not, which is why this important question should be resolved by this Court. </w:t>
      </w:r>
    </w:p>
    <w:p w:rsidR="00095BF7" w:rsidRDefault="00095BF7" w:rsidP="00050624">
      <w:pPr>
        <w:spacing w:before="120" w:after="480"/>
        <w:jc w:val="center"/>
        <w:rPr>
          <w:rFonts w:ascii="Century" w:hAnsi="Century" w:cs="Century"/>
        </w:rPr>
      </w:pPr>
      <w:r w:rsidRPr="003B23DB">
        <w:rPr>
          <w:rFonts w:ascii="Century" w:hAnsi="Century" w:cs="Century"/>
        </w:rPr>
        <w:t>____________________</w:t>
      </w:r>
    </w:p>
    <w:p w:rsidR="00095BF7" w:rsidRPr="00DD2259" w:rsidRDefault="00095BF7" w:rsidP="00050624">
      <w:pPr>
        <w:keepNext/>
        <w:keepLines/>
        <w:spacing w:after="480"/>
        <w:jc w:val="center"/>
        <w:rPr>
          <w:rFonts w:ascii="Century" w:hAnsi="Century" w:cs="Century"/>
        </w:rPr>
      </w:pPr>
      <w:r w:rsidRPr="003B23DB">
        <w:rPr>
          <w:rFonts w:ascii="Century" w:hAnsi="Century" w:cs="Century"/>
          <w:b/>
          <w:bCs/>
        </w:rPr>
        <w:t>CONCLUSION</w:t>
      </w:r>
    </w:p>
    <w:p w:rsidR="00095BF7" w:rsidRPr="003B23DB" w:rsidRDefault="00095BF7" w:rsidP="003F0701">
      <w:pPr>
        <w:keepNext/>
        <w:keepLines/>
        <w:spacing w:after="240"/>
        <w:ind w:firstLine="720"/>
        <w:jc w:val="both"/>
        <w:rPr>
          <w:rFonts w:ascii="Century" w:hAnsi="Century" w:cs="Century"/>
        </w:rPr>
      </w:pPr>
      <w:r w:rsidRPr="003B23DB">
        <w:rPr>
          <w:rFonts w:ascii="Century" w:hAnsi="Century" w:cs="Century"/>
        </w:rPr>
        <w:t>This Court should grant the petition for writ of certiorari.</w:t>
      </w:r>
    </w:p>
    <w:p w:rsidR="00095BF7" w:rsidRPr="003B23DB" w:rsidRDefault="00095BF7" w:rsidP="003F0701">
      <w:pPr>
        <w:keepNext/>
        <w:keepLines/>
        <w:spacing w:after="240"/>
        <w:jc w:val="both"/>
        <w:rPr>
          <w:rFonts w:ascii="Century" w:hAnsi="Century" w:cs="Century"/>
        </w:rPr>
      </w:pPr>
      <w:r w:rsidRPr="003B23DB">
        <w:rPr>
          <w:rFonts w:ascii="Century" w:hAnsi="Century" w:cs="Century"/>
        </w:rPr>
        <w:t xml:space="preserve">Dated:  </w:t>
      </w:r>
      <w:r>
        <w:rPr>
          <w:rFonts w:ascii="Century" w:hAnsi="Century" w:cs="Century"/>
        </w:rPr>
        <w:t>March 19, 2010</w:t>
      </w:r>
    </w:p>
    <w:p w:rsidR="00095BF7" w:rsidRPr="003B23DB" w:rsidRDefault="00095BF7" w:rsidP="003F0701">
      <w:pPr>
        <w:keepNext/>
        <w:keepLines/>
        <w:spacing w:after="240"/>
        <w:ind w:left="4320"/>
        <w:jc w:val="both"/>
        <w:rPr>
          <w:rFonts w:ascii="Century" w:hAnsi="Century" w:cs="Century"/>
        </w:rPr>
      </w:pPr>
      <w:r w:rsidRPr="003B23DB">
        <w:rPr>
          <w:rFonts w:ascii="Century" w:hAnsi="Century" w:cs="Century"/>
        </w:rPr>
        <w:t>Respectfully submitted,</w:t>
      </w:r>
    </w:p>
    <w:p w:rsidR="00095BF7" w:rsidRPr="003B23DB" w:rsidRDefault="00095BF7" w:rsidP="003F0701">
      <w:pPr>
        <w:keepNext/>
        <w:keepLines/>
        <w:ind w:left="4320"/>
        <w:rPr>
          <w:rFonts w:ascii="Century" w:hAnsi="Century" w:cs="Century"/>
          <w:smallCaps/>
        </w:rPr>
      </w:pPr>
      <w:r w:rsidRPr="003B23DB">
        <w:rPr>
          <w:rFonts w:ascii="Century" w:hAnsi="Century" w:cs="Century"/>
          <w:smallCaps/>
        </w:rPr>
        <w:t>Lori Swanson</w:t>
      </w:r>
    </w:p>
    <w:p w:rsidR="00095BF7" w:rsidRPr="003B23DB" w:rsidRDefault="00095BF7" w:rsidP="003F0701">
      <w:pPr>
        <w:keepNext/>
        <w:keepLines/>
        <w:ind w:left="4320"/>
        <w:rPr>
          <w:rFonts w:ascii="Century" w:hAnsi="Century" w:cs="Century"/>
        </w:rPr>
      </w:pPr>
      <w:r w:rsidRPr="003B23DB">
        <w:rPr>
          <w:rFonts w:ascii="Century" w:hAnsi="Century" w:cs="Century"/>
        </w:rPr>
        <w:t>Minnesota Attorney General</w:t>
      </w:r>
    </w:p>
    <w:p w:rsidR="00095BF7" w:rsidRPr="003B23DB" w:rsidRDefault="00095BF7" w:rsidP="003F0701">
      <w:pPr>
        <w:keepNext/>
        <w:keepLines/>
        <w:ind w:left="4320"/>
        <w:rPr>
          <w:rFonts w:ascii="Century" w:hAnsi="Century" w:cs="Century"/>
          <w:smallCaps/>
        </w:rPr>
      </w:pPr>
    </w:p>
    <w:p w:rsidR="00095BF7" w:rsidRPr="003B23DB" w:rsidRDefault="00095BF7" w:rsidP="003F0701">
      <w:pPr>
        <w:keepNext/>
        <w:keepLines/>
        <w:ind w:left="4320"/>
        <w:rPr>
          <w:rFonts w:ascii="Century" w:hAnsi="Century" w:cs="Century"/>
          <w:smallCaps/>
        </w:rPr>
      </w:pPr>
      <w:r w:rsidRPr="003B23DB">
        <w:rPr>
          <w:rFonts w:ascii="Century" w:hAnsi="Century" w:cs="Century"/>
          <w:smallCaps/>
        </w:rPr>
        <w:t>Susan Gaertner</w:t>
      </w:r>
    </w:p>
    <w:p w:rsidR="00095BF7" w:rsidRPr="003B23DB" w:rsidRDefault="00095BF7" w:rsidP="003F0701">
      <w:pPr>
        <w:keepNext/>
        <w:keepLines/>
        <w:ind w:left="4320"/>
        <w:rPr>
          <w:rFonts w:ascii="Century" w:hAnsi="Century" w:cs="Century"/>
        </w:rPr>
      </w:pPr>
      <w:r w:rsidRPr="003B23DB">
        <w:rPr>
          <w:rFonts w:ascii="Century" w:hAnsi="Century" w:cs="Century"/>
        </w:rPr>
        <w:t>Ramsey County Attorney</w:t>
      </w:r>
    </w:p>
    <w:p w:rsidR="00095BF7" w:rsidRPr="003B23DB" w:rsidRDefault="00095BF7" w:rsidP="003F0701">
      <w:pPr>
        <w:keepNext/>
        <w:keepLines/>
        <w:ind w:left="4320"/>
        <w:rPr>
          <w:rFonts w:ascii="Century" w:hAnsi="Century" w:cs="Century"/>
        </w:rPr>
      </w:pPr>
    </w:p>
    <w:p w:rsidR="00095BF7" w:rsidRPr="003B23DB" w:rsidRDefault="00095BF7" w:rsidP="003F0701">
      <w:pPr>
        <w:keepNext/>
        <w:keepLines/>
        <w:ind w:left="4320"/>
        <w:rPr>
          <w:rFonts w:ascii="Century" w:hAnsi="Century" w:cs="Century"/>
          <w:smallCaps/>
        </w:rPr>
      </w:pPr>
      <w:r w:rsidRPr="003B23DB">
        <w:rPr>
          <w:rFonts w:ascii="Century" w:hAnsi="Century" w:cs="Century"/>
          <w:smallCaps/>
        </w:rPr>
        <w:t>By:  Thomas R. Ragatz</w:t>
      </w:r>
    </w:p>
    <w:p w:rsidR="00095BF7" w:rsidRPr="003B23DB" w:rsidRDefault="00095BF7" w:rsidP="003F0701">
      <w:pPr>
        <w:keepNext/>
        <w:keepLines/>
        <w:ind w:left="4320"/>
        <w:rPr>
          <w:rFonts w:ascii="Century" w:hAnsi="Century" w:cs="Century"/>
        </w:rPr>
      </w:pPr>
      <w:r w:rsidRPr="003B23DB">
        <w:rPr>
          <w:rFonts w:ascii="Century" w:hAnsi="Century" w:cs="Century"/>
        </w:rPr>
        <w:t>Assistant Ramsey County Attorney</w:t>
      </w:r>
    </w:p>
    <w:p w:rsidR="00095BF7" w:rsidRPr="003B23DB" w:rsidRDefault="00095BF7" w:rsidP="003F0701">
      <w:pPr>
        <w:keepNext/>
        <w:keepLines/>
        <w:ind w:left="4320"/>
        <w:rPr>
          <w:rFonts w:ascii="Century" w:hAnsi="Century" w:cs="Century"/>
        </w:rPr>
      </w:pPr>
      <w:r w:rsidRPr="003B23DB">
        <w:rPr>
          <w:rFonts w:ascii="Century" w:hAnsi="Century" w:cs="Century"/>
        </w:rPr>
        <w:t>License No. 0236822</w:t>
      </w:r>
    </w:p>
    <w:p w:rsidR="00095BF7" w:rsidRPr="003B23DB" w:rsidRDefault="00095BF7" w:rsidP="00DD2259">
      <w:pPr>
        <w:keepNext/>
        <w:keepLines/>
        <w:rPr>
          <w:rFonts w:ascii="Century" w:hAnsi="Century" w:cs="Century"/>
          <w:smallCaps/>
        </w:rPr>
      </w:pPr>
    </w:p>
    <w:p w:rsidR="00095BF7" w:rsidRPr="00050624" w:rsidRDefault="00095BF7" w:rsidP="00050624">
      <w:pPr>
        <w:keepNext/>
        <w:keepLines/>
        <w:tabs>
          <w:tab w:val="left" w:pos="5760"/>
        </w:tabs>
        <w:ind w:left="4320"/>
        <w:rPr>
          <w:rFonts w:ascii="Century" w:hAnsi="Century" w:cs="Century"/>
          <w:i/>
          <w:iCs/>
        </w:rPr>
      </w:pPr>
      <w:r w:rsidRPr="003B23DB">
        <w:rPr>
          <w:rFonts w:ascii="Century" w:hAnsi="Century" w:cs="Century"/>
          <w:i/>
          <w:iCs/>
        </w:rPr>
        <w:t>Attorneys for Petitioner</w:t>
      </w:r>
    </w:p>
    <w:sectPr w:rsidR="00095BF7" w:rsidRPr="00050624" w:rsidSect="004B168B">
      <w:pgSz w:w="12240" w:h="15840" w:code="1"/>
      <w:pgMar w:top="1440" w:right="1440" w:bottom="1440" w:left="1440" w:header="1440" w:footer="1440" w:gutter="0"/>
      <w:paperSrc w:first="261" w:other="26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BF7" w:rsidRDefault="00095BF7" w:rsidP="003D2118">
      <w:r>
        <w:separator/>
      </w:r>
    </w:p>
  </w:endnote>
  <w:endnote w:type="continuationSeparator" w:id="1">
    <w:p w:rsidR="00095BF7" w:rsidRDefault="00095BF7" w:rsidP="003D2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BF7" w:rsidRDefault="00095BF7" w:rsidP="003D2118">
      <w:r>
        <w:separator/>
      </w:r>
    </w:p>
  </w:footnote>
  <w:footnote w:type="continuationSeparator" w:id="1">
    <w:p w:rsidR="00095BF7" w:rsidRDefault="00095BF7" w:rsidP="003D2118">
      <w:r>
        <w:continuationSeparator/>
      </w:r>
    </w:p>
  </w:footnote>
  <w:footnote w:id="2">
    <w:p w:rsidR="00095BF7" w:rsidRDefault="00095BF7">
      <w:pPr>
        <w:pStyle w:val="FootnoteText"/>
      </w:pPr>
      <w:r>
        <w:rPr>
          <w:rStyle w:val="FootnoteReference"/>
        </w:rPr>
        <w:footnoteRef/>
      </w:r>
      <w:r>
        <w:t xml:space="preserve"> </w:t>
      </w:r>
      <w:r>
        <w:rPr>
          <w:i/>
          <w:iCs/>
        </w:rPr>
        <w:t>United States v. Oscar-Torres</w:t>
      </w:r>
      <w:r>
        <w:t>, 507 F.3d 224, 228 (4</w:t>
      </w:r>
      <w:r w:rsidRPr="002E6491">
        <w:rPr>
          <w:vertAlign w:val="superscript"/>
        </w:rPr>
        <w:t>th</w:t>
      </w:r>
      <w:r>
        <w:t xml:space="preserve"> Cir. 2007).</w:t>
      </w:r>
    </w:p>
  </w:footnote>
  <w:footnote w:id="3">
    <w:p w:rsidR="00095BF7" w:rsidRDefault="00095BF7" w:rsidP="00796F08">
      <w:pPr>
        <w:pStyle w:val="FootnoteText"/>
        <w:jc w:val="both"/>
      </w:pPr>
      <w:r>
        <w:rPr>
          <w:rStyle w:val="FootnoteReference"/>
        </w:rPr>
        <w:footnoteRef/>
      </w:r>
      <w:r>
        <w:t xml:space="preserve"> Although the court of appeals used the phrase “evidence of identity,” its conclusion makes clear that it is suppressing knowledge of identity.  App 11.  It orders suppression of the DNA obtained with the search warrant, because “[a] warrant cannot issue without identifying its target,” and police knowledge of the identity of the warrant’s target (respondent) came from the illegal seizure.  In other words, the court of appeals concluded that the search warrant was improperly issued because a search warrant must include a name, and the police only learned respondent’s name because of an illegal stop.  Id.  The court of appeals did </w:t>
      </w:r>
      <w:r>
        <w:rPr>
          <w:i/>
          <w:iCs/>
        </w:rPr>
        <w:t>not</w:t>
      </w:r>
      <w:r>
        <w:t xml:space="preserve"> hold the warrant invalid because illegally obtained “evidence of identity” was included in the probable-cause portion of the warrant.  Id. at 8-11.   The court only addressed the source of police knowledge of respondent’s identity, which was necessary for issuance of the warrant.  Id. </w:t>
      </w:r>
    </w:p>
  </w:footnote>
  <w:footnote w:id="4">
    <w:p w:rsidR="00095BF7" w:rsidRDefault="00095BF7" w:rsidP="00935288">
      <w:pPr>
        <w:pStyle w:val="FootnoteText"/>
        <w:jc w:val="both"/>
      </w:pPr>
      <w:r>
        <w:rPr>
          <w:rStyle w:val="FootnoteReference"/>
        </w:rPr>
        <w:footnoteRef/>
      </w:r>
      <w:r>
        <w:t xml:space="preserve"> It is unlikely that respondent will prevail on the probable-cause issue, if this case is remanded, because the test for probable cause is easily met by the eye-witness’s statement that he saw respondent handling the seized gun.  App  4.  This is the substantive evidence the state relied on in the search-warrant application (as opposed to the facts included in the application for context).  Appendix to BIO 10.  Similarly, the substantive (not background) evidence the state used to convict respondent of illegal possession of this gun is the DNA found on it, which </w:t>
      </w:r>
      <w:r w:rsidRPr="00221B6B">
        <w:rPr>
          <w:i/>
          <w:iCs/>
        </w:rPr>
        <w:t>matches</w:t>
      </w:r>
      <w:r>
        <w:t xml:space="preserve"> respondent’s DNA.  App 4</w:t>
      </w:r>
      <w:r>
        <w:noBreakHyphen/>
        <w:t>5.  Lastly, petitioner does not argue that respondent had an outstanding warrant and this “dissipated any taint of the unlawful seizure.”  BIO 5 n.6.  Petitioner’s argument is that “arrest-warrant cases illustrate the principle that knowledge of identity is not subject to suppression.”  Petition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BF7" w:rsidRDefault="00095BF7">
    <w:pPr>
      <w:pStyle w:val="Header"/>
      <w:jc w:val="center"/>
    </w:pPr>
    <w:fldSimple w:instr=" PAGE   \* MERGEFORMAT ">
      <w:r>
        <w:rPr>
          <w:noProof/>
        </w:rPr>
        <w:t>2</w:t>
      </w:r>
    </w:fldSimple>
  </w:p>
  <w:p w:rsidR="00095BF7" w:rsidRDefault="00095B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rawingGridHorizontalSpacing w:val="120"/>
  <w:drawingGridVerticalSpacing w:val="127"/>
  <w:displayHorizontalDrawingGridEvery w:val="0"/>
  <w:displayVertic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896"/>
    <w:rsid w:val="00023C4E"/>
    <w:rsid w:val="00046539"/>
    <w:rsid w:val="00050624"/>
    <w:rsid w:val="00063550"/>
    <w:rsid w:val="0007230E"/>
    <w:rsid w:val="00095BF7"/>
    <w:rsid w:val="000A435D"/>
    <w:rsid w:val="000D2001"/>
    <w:rsid w:val="001803B2"/>
    <w:rsid w:val="00190CFA"/>
    <w:rsid w:val="001B150B"/>
    <w:rsid w:val="001F7466"/>
    <w:rsid w:val="00206B8D"/>
    <w:rsid w:val="00221093"/>
    <w:rsid w:val="00221B6B"/>
    <w:rsid w:val="00241939"/>
    <w:rsid w:val="00243D59"/>
    <w:rsid w:val="00267FBA"/>
    <w:rsid w:val="002955B5"/>
    <w:rsid w:val="002E4F3C"/>
    <w:rsid w:val="002E6491"/>
    <w:rsid w:val="00312C2E"/>
    <w:rsid w:val="00321896"/>
    <w:rsid w:val="003244F8"/>
    <w:rsid w:val="00364140"/>
    <w:rsid w:val="003905F6"/>
    <w:rsid w:val="003B23DB"/>
    <w:rsid w:val="003C6B08"/>
    <w:rsid w:val="003D2118"/>
    <w:rsid w:val="003E497A"/>
    <w:rsid w:val="003F0701"/>
    <w:rsid w:val="0044448E"/>
    <w:rsid w:val="004846BB"/>
    <w:rsid w:val="004948EC"/>
    <w:rsid w:val="004A2BC9"/>
    <w:rsid w:val="004A4355"/>
    <w:rsid w:val="004B168B"/>
    <w:rsid w:val="004D10CA"/>
    <w:rsid w:val="004F32FA"/>
    <w:rsid w:val="00503D26"/>
    <w:rsid w:val="00541622"/>
    <w:rsid w:val="005745BC"/>
    <w:rsid w:val="005B6FD1"/>
    <w:rsid w:val="005D2F2E"/>
    <w:rsid w:val="005E2B3B"/>
    <w:rsid w:val="0066172A"/>
    <w:rsid w:val="00695AC2"/>
    <w:rsid w:val="006962F3"/>
    <w:rsid w:val="006F3635"/>
    <w:rsid w:val="00796F08"/>
    <w:rsid w:val="00800DDC"/>
    <w:rsid w:val="00817628"/>
    <w:rsid w:val="00841740"/>
    <w:rsid w:val="008445A3"/>
    <w:rsid w:val="008503CF"/>
    <w:rsid w:val="008F1DD0"/>
    <w:rsid w:val="0093500B"/>
    <w:rsid w:val="00935288"/>
    <w:rsid w:val="0094422F"/>
    <w:rsid w:val="00952A4E"/>
    <w:rsid w:val="009761EE"/>
    <w:rsid w:val="00A13836"/>
    <w:rsid w:val="00A225EE"/>
    <w:rsid w:val="00AC63EB"/>
    <w:rsid w:val="00B231C5"/>
    <w:rsid w:val="00B2344A"/>
    <w:rsid w:val="00B32D3B"/>
    <w:rsid w:val="00B4228D"/>
    <w:rsid w:val="00B53577"/>
    <w:rsid w:val="00B57FE7"/>
    <w:rsid w:val="00B73129"/>
    <w:rsid w:val="00BC091E"/>
    <w:rsid w:val="00C43E2C"/>
    <w:rsid w:val="00C6709F"/>
    <w:rsid w:val="00C87FB7"/>
    <w:rsid w:val="00CC0DF5"/>
    <w:rsid w:val="00CC469F"/>
    <w:rsid w:val="00CE3A23"/>
    <w:rsid w:val="00D00531"/>
    <w:rsid w:val="00D16E1D"/>
    <w:rsid w:val="00D32955"/>
    <w:rsid w:val="00D653F7"/>
    <w:rsid w:val="00D81F2D"/>
    <w:rsid w:val="00D82B51"/>
    <w:rsid w:val="00D87942"/>
    <w:rsid w:val="00DD2259"/>
    <w:rsid w:val="00DD48BD"/>
    <w:rsid w:val="00DE7A5D"/>
    <w:rsid w:val="00DF0124"/>
    <w:rsid w:val="00E7206E"/>
    <w:rsid w:val="00E97038"/>
    <w:rsid w:val="00EB258D"/>
    <w:rsid w:val="00EC6FBA"/>
    <w:rsid w:val="00EE4A7A"/>
    <w:rsid w:val="00F65F6B"/>
    <w:rsid w:val="00FE7992"/>
    <w:rsid w:val="00FF37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8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D653F7"/>
    <w:pPr>
      <w:framePr w:w="7920" w:h="1980" w:hRule="exact" w:hSpace="180" w:wrap="auto" w:hAnchor="page" w:xAlign="center" w:yAlign="bottom"/>
      <w:ind w:left="2880"/>
    </w:pPr>
  </w:style>
  <w:style w:type="paragraph" w:styleId="Header">
    <w:name w:val="header"/>
    <w:basedOn w:val="Normal"/>
    <w:link w:val="HeaderChar"/>
    <w:uiPriority w:val="99"/>
    <w:rsid w:val="003D2118"/>
    <w:pPr>
      <w:tabs>
        <w:tab w:val="center" w:pos="4680"/>
        <w:tab w:val="right" w:pos="9360"/>
      </w:tabs>
    </w:pPr>
  </w:style>
  <w:style w:type="character" w:customStyle="1" w:styleId="HeaderChar">
    <w:name w:val="Header Char"/>
    <w:basedOn w:val="DefaultParagraphFont"/>
    <w:link w:val="Header"/>
    <w:uiPriority w:val="99"/>
    <w:locked/>
    <w:rsid w:val="003D2118"/>
    <w:rPr>
      <w:snapToGrid w:val="0"/>
      <w:sz w:val="24"/>
      <w:szCs w:val="24"/>
    </w:rPr>
  </w:style>
  <w:style w:type="paragraph" w:styleId="EnvelopeReturn">
    <w:name w:val="envelope return"/>
    <w:basedOn w:val="Normal"/>
    <w:uiPriority w:val="99"/>
    <w:semiHidden/>
    <w:rsid w:val="00D653F7"/>
    <w:rPr>
      <w:sz w:val="20"/>
      <w:szCs w:val="20"/>
    </w:rPr>
  </w:style>
  <w:style w:type="paragraph" w:styleId="Footer">
    <w:name w:val="footer"/>
    <w:basedOn w:val="Normal"/>
    <w:link w:val="FooterChar"/>
    <w:uiPriority w:val="99"/>
    <w:semiHidden/>
    <w:rsid w:val="003D2118"/>
    <w:pPr>
      <w:tabs>
        <w:tab w:val="center" w:pos="4680"/>
        <w:tab w:val="right" w:pos="9360"/>
      </w:tabs>
    </w:pPr>
  </w:style>
  <w:style w:type="character" w:customStyle="1" w:styleId="FooterChar">
    <w:name w:val="Footer Char"/>
    <w:basedOn w:val="DefaultParagraphFont"/>
    <w:link w:val="Footer"/>
    <w:uiPriority w:val="99"/>
    <w:semiHidden/>
    <w:locked/>
    <w:rsid w:val="003D2118"/>
    <w:rPr>
      <w:snapToGrid w:val="0"/>
      <w:sz w:val="24"/>
      <w:szCs w:val="24"/>
    </w:rPr>
  </w:style>
  <w:style w:type="paragraph" w:styleId="FootnoteText">
    <w:name w:val="footnote text"/>
    <w:basedOn w:val="Normal"/>
    <w:link w:val="FootnoteTextChar"/>
    <w:uiPriority w:val="99"/>
    <w:semiHidden/>
    <w:rsid w:val="00D87942"/>
    <w:rPr>
      <w:sz w:val="20"/>
      <w:szCs w:val="20"/>
    </w:rPr>
  </w:style>
  <w:style w:type="character" w:customStyle="1" w:styleId="FootnoteTextChar">
    <w:name w:val="Footnote Text Char"/>
    <w:basedOn w:val="DefaultParagraphFont"/>
    <w:link w:val="FootnoteText"/>
    <w:uiPriority w:val="99"/>
    <w:semiHidden/>
    <w:locked/>
    <w:rsid w:val="00D87942"/>
  </w:style>
  <w:style w:type="character" w:styleId="FootnoteReference">
    <w:name w:val="footnote reference"/>
    <w:basedOn w:val="DefaultParagraphFont"/>
    <w:uiPriority w:val="99"/>
    <w:semiHidden/>
    <w:rsid w:val="00D87942"/>
    <w:rPr>
      <w:vertAlign w:val="superscript"/>
    </w:rPr>
  </w:style>
  <w:style w:type="character" w:styleId="Hyperlink">
    <w:name w:val="Hyperlink"/>
    <w:basedOn w:val="DefaultParagraphFont"/>
    <w:uiPriority w:val="99"/>
    <w:rsid w:val="00D879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641</Words>
  <Characters>3659</Characters>
  <Application>Microsoft Office Outlook</Application>
  <DocSecurity>0</DocSecurity>
  <Lines>0</Lines>
  <Paragraphs>0</Paragraphs>
  <ScaleCrop>false</ScaleCrop>
  <Company>Ramsey County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trina.harris</dc:creator>
  <cp:keywords/>
  <dc:description/>
  <cp:lastModifiedBy>elmiller</cp:lastModifiedBy>
  <cp:revision>2</cp:revision>
  <cp:lastPrinted>2010-03-18T16:01:00Z</cp:lastPrinted>
  <dcterms:created xsi:type="dcterms:W3CDTF">2010-04-15T21:39:00Z</dcterms:created>
  <dcterms:modified xsi:type="dcterms:W3CDTF">2010-04-15T21:39:00Z</dcterms:modified>
</cp:coreProperties>
</file>